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EDITAL DE LEILÃO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26ª Vara do Trabalho de Belo Horizonte</w:t>
        <w:br/>
        <w:t xml:space="preserve">RUA DOS GOITACAZES, 1475, BARRO PRETO, BELO HORIZONTE/MG 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TEL.: (31) 33307526 – E-MAIL: varabh26@trt3.jus.br</w:t>
      </w:r>
    </w:p>
    <w:p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Spacing"/>
        <w:rPr>
          <w:b/>
        </w:rPr>
      </w:pPr>
      <w:r>
        <w:rPr>
          <w:b/>
        </w:rPr>
        <w:t xml:space="preserve">PROCESSO </w:t>
      </w:r>
      <w:bookmarkStart w:id="0" w:name="_GoBack"/>
      <w:r>
        <w:rPr>
          <w:b/>
        </w:rPr>
        <w:t>0011216-32.2017.5.03.0105</w:t>
      </w:r>
      <w:bookmarkEnd w:id="0"/>
    </w:p>
    <w:p>
      <w:pPr>
        <w:pStyle w:val="NoSpacing"/>
        <w:rPr>
          <w:b/>
        </w:rPr>
      </w:pPr>
      <w:r>
        <w:rPr>
          <w:b/>
        </w:rPr>
        <w:t>AUTOR: JULIANO GONCALVES VELOSO</w:t>
      </w:r>
    </w:p>
    <w:p>
      <w:pPr>
        <w:pStyle w:val="NoSpacing"/>
        <w:rPr>
          <w:b/>
        </w:rPr>
      </w:pPr>
      <w:r>
        <w:rPr>
          <w:b/>
        </w:rPr>
        <w:t>RÉU: GRAN PROMETAL GRANITOS PROJETOS E METAIS LTDA - EPP E</w:t>
      </w:r>
    </w:p>
    <w:p>
      <w:pPr>
        <w:pStyle w:val="NoSpacing"/>
        <w:rPr>
          <w:b/>
        </w:rPr>
      </w:pPr>
      <w:r>
        <w:rPr>
          <w:b/>
        </w:rPr>
        <w:t>OUTROS (2)</w:t>
      </w:r>
    </w:p>
    <w:p>
      <w:pPr>
        <w:pStyle w:val="NoSpacing"/>
        <w:rPr>
          <w:b/>
        </w:rPr>
      </w:pPr>
      <w:r>
        <w:rPr>
          <w:b/>
        </w:rPr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DATAS E LOCAIS DO LEILÃO</w:t>
      </w:r>
    </w:p>
    <w:p>
      <w:pPr>
        <w:pStyle w:val="Normal"/>
        <w:numPr>
          <w:ilvl w:val="0"/>
          <w:numId w:val="2"/>
        </w:numPr>
        <w:suppressAutoHyphens w:val="true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1º Leilão Virtual e Presencial</w:t>
      </w:r>
      <w:r>
        <w:rPr>
          <w:rFonts w:cs="Times New Roman" w:ascii="Times New Roman" w:hAnsi="Times New Roman"/>
        </w:rPr>
        <w:br/>
        <w:t xml:space="preserve">Data e Hora: </w:t>
      </w:r>
      <w:r>
        <w:rPr>
          <w:rFonts w:cs="Times New Roman" w:ascii="Times New Roman" w:hAnsi="Times New Roman"/>
          <w:b/>
          <w:bCs/>
        </w:rPr>
        <w:t>10/12/2025</w:t>
      </w:r>
      <w:r>
        <w:rPr>
          <w:rFonts w:cs="Times New Roman" w:ascii="Times New Roman" w:hAnsi="Times New Roman"/>
        </w:rPr>
        <w:t xml:space="preserve">, às </w:t>
      </w:r>
      <w:r>
        <w:rPr>
          <w:rFonts w:cs="Times New Roman" w:ascii="Times New Roman" w:hAnsi="Times New Roman"/>
          <w:b/>
          <w:bCs/>
        </w:rPr>
        <w:t>14h00</w:t>
      </w:r>
      <w:r>
        <w:rPr>
          <w:rFonts w:cs="Times New Roman" w:ascii="Times New Roman" w:hAnsi="Times New Roman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numPr>
          <w:ilvl w:val="0"/>
          <w:numId w:val="2"/>
        </w:numPr>
        <w:pBdr>
          <w:bottom w:val="single" w:sz="4" w:space="1" w:color="000000"/>
        </w:pBdr>
        <w:suppressAutoHyphens w:val="true"/>
        <w:ind w:hanging="720" w:left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2º Leilão Virtual e Presencial</w:t>
      </w:r>
      <w:r>
        <w:rPr>
          <w:rFonts w:cs="Times New Roman" w:ascii="Times New Roman" w:hAnsi="Times New Roman"/>
        </w:rPr>
        <w:br/>
        <w:t xml:space="preserve">Data e Hora: </w:t>
      </w:r>
      <w:r>
        <w:rPr>
          <w:rFonts w:cs="Times New Roman" w:ascii="Times New Roman" w:hAnsi="Times New Roman"/>
          <w:b/>
        </w:rPr>
        <w:t>05/02</w:t>
      </w:r>
      <w:r>
        <w:rPr>
          <w:rFonts w:cs="Times New Roman" w:ascii="Times New Roman" w:hAnsi="Times New Roman"/>
          <w:b/>
          <w:bCs/>
        </w:rPr>
        <w:t>/2026</w:t>
      </w:r>
      <w:r>
        <w:rPr>
          <w:rFonts w:cs="Times New Roman" w:ascii="Times New Roman" w:hAnsi="Times New Roman"/>
        </w:rPr>
        <w:t xml:space="preserve">, às </w:t>
      </w:r>
      <w:r>
        <w:rPr>
          <w:rFonts w:cs="Times New Roman" w:ascii="Times New Roman" w:hAnsi="Times New Roman"/>
          <w:b/>
          <w:bCs/>
        </w:rPr>
        <w:t>14:00h</w:t>
      </w:r>
      <w:r>
        <w:rPr>
          <w:rFonts w:cs="Times New Roman" w:ascii="Times New Roman" w:hAnsi="Times New Roman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jc w:val="both"/>
        <w:rPr>
          <w:rFonts w:ascii="Times New Roman" w:hAnsi="Times New Roman" w:cs="Times New Roman"/>
          <w:color w:val="FF0000"/>
        </w:rPr>
      </w:pPr>
      <w:r>
        <w:rPr>
          <w:rFonts w:cs="Times New Roman" w:ascii="Times New Roman" w:hAnsi="Times New Roman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>
      <w:pPr>
        <w:pStyle w:val="Normal"/>
        <w:pBdr>
          <w:bottom w:val="single" w:sz="4" w:space="1" w:color="000000"/>
        </w:pBdr>
        <w:jc w:val="both"/>
        <w:rPr>
          <w:rFonts w:ascii="Times New Roman" w:hAnsi="Times New Roman" w:cs="Times New Roman"/>
          <w:color w:val="FF0000"/>
        </w:rPr>
      </w:pPr>
      <w:r>
        <w:rPr>
          <w:rFonts w:cs="Times New Roman" w:ascii="Times New Roman" w:hAnsi="Times New Roman"/>
          <w:color w:val="FF0000"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DESCRIÇÃO DO BEM: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Imóvel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apartamento nº 2102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, Tipo C, localizado no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21º ou 22º andar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, integrante do empreendimento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ICON RESIDENCE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, situado na Avenida Doutor Jorge Zarur,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585-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 bairro do Serimbura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(Vila Ema)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>em São José dos Campos – SP.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>O texto informa dados técnicos do imóvel:</w:t>
      </w:r>
    </w:p>
    <w:p>
      <w:pPr>
        <w:pStyle w:val="Normal"/>
        <w:numPr>
          <w:ilvl w:val="0"/>
          <w:numId w:val="3"/>
        </w:numPr>
        <w:spacing w:lineRule="auto" w:line="240" w:beforeAutospacing="1" w:after="0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Área privativa do apartamento: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56,856 m²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Área privativa de garagem: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11,040 m²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Vaga vinculada: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vaga nº 186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>, no 1º subsolo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Área de uso comum: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53,017 m²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Área total: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120,913 m²</w:t>
      </w:r>
    </w:p>
    <w:p>
      <w:pPr>
        <w:pStyle w:val="Normal"/>
        <w:numPr>
          <w:ilvl w:val="0"/>
          <w:numId w:val="3"/>
        </w:numPr>
        <w:spacing w:lineRule="auto" w:line="240" w:before="0" w:afterAutospacing="1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Fração ideal do terreno: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0,439044%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>Outros dados mencionados:</w:t>
      </w:r>
    </w:p>
    <w:p>
      <w:pPr>
        <w:pStyle w:val="Normal"/>
        <w:numPr>
          <w:ilvl w:val="0"/>
          <w:numId w:val="4"/>
        </w:numPr>
        <w:spacing w:lineRule="auto" w:line="240" w:beforeAutospacing="1" w:after="0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Cadastro Municipal: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 41.0039.0006.0000</w:t>
      </w:r>
    </w:p>
    <w:p>
      <w:pPr>
        <w:pStyle w:val="Normal"/>
        <w:numPr>
          <w:ilvl w:val="0"/>
          <w:numId w:val="4"/>
        </w:numPr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Proprietária: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 MACRO MONTANTE INCORPORAÇÕES SPE LTDA, com CNPJ indicado</w:t>
      </w:r>
    </w:p>
    <w:p>
      <w:pPr>
        <w:pStyle w:val="Normal"/>
        <w:numPr>
          <w:ilvl w:val="0"/>
          <w:numId w:val="4"/>
        </w:numPr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Registro Anterior: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 Matrícula nº 152.780, de 29/10/2004</w:t>
      </w:r>
    </w:p>
    <w:p>
      <w:pPr>
        <w:pStyle w:val="Normal"/>
        <w:numPr>
          <w:ilvl w:val="0"/>
          <w:numId w:val="4"/>
        </w:numPr>
        <w:spacing w:lineRule="auto" w:line="240" w:before="0" w:afterAutospacing="1"/>
        <w:rPr>
          <w:rFonts w:ascii="Times New Roman" w:hAnsi="Times New Roman" w:eastAsia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t-BR"/>
          <w14:ligatures w14:val="none"/>
        </w:rPr>
        <w:t>Protocolo: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t-BR"/>
          <w14:ligatures w14:val="none"/>
        </w:rPr>
        <w:t xml:space="preserve"> nº 478.101, de 01 de fevereiro de 2012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 xml:space="preserve"> </w:t>
      </w:r>
      <w:r>
        <w:rPr>
          <w:rFonts w:cs="Times New Roman" w:ascii="Times New Roman" w:hAnsi="Times New Roman"/>
          <w:b/>
        </w:rPr>
        <w:t xml:space="preserve">Matricula Atual: </w:t>
      </w:r>
      <w:r>
        <w:rPr>
          <w:rFonts w:eastAsia="Times New Roman" w:cs="Times New Roman" w:ascii="Times New Roman" w:hAnsi="Times New Roman"/>
          <w:b w:val="false"/>
          <w:bCs w:val="false"/>
          <w:kern w:val="0"/>
          <w:sz w:val="24"/>
          <w:szCs w:val="24"/>
          <w:lang w:eastAsia="pt-BR"/>
          <w14:ligatures w14:val="none"/>
        </w:rPr>
        <w:t>Matrícula nº 246.356- 1º CRI de São José Dos Campos/SP.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DESCRIÇÃO: trata-se de empreendimento de alto padrão, localizado em bairro nobre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de São José dos Campos.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O apartamento, com 56,856 m2 de área útil, possui um dormitório, banheiro, pequeno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hall de acesso ao banheiro, sala de estar integrada com a cozinha, área de serviço e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sacada.. O quarto, o hall e a sala têm piso laminado clicado e os demais cômodos têm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piso e paredes em cerâmica, com exceção da sacada, com parede de alvenaria.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Todos os cômodos estão mobiliados e com luminárias.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 xml:space="preserve">AVALIAÇÃO: avaliei referido imóvel em R$840.000,00 (oitocentos e quarenta mil reais). 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/>
        <w:drawing>
          <wp:inline distT="0" distB="0" distL="0" distR="0">
            <wp:extent cx="5400040" cy="4425950"/>
            <wp:effectExtent l="0" t="0" r="0" b="0"/>
            <wp:docPr id="1" name="Imagem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42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pBdr>
          <w:bottom w:val="single" w:sz="4" w:space="1" w:color="000000"/>
        </w:pBdr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ÔNUS: ANOTAÇÕES AVERBADAS NA MATRÍCULA ATÉ O DIA 01/10/2024: Observação: O interessado deverá verificar junto ao Cartório de Registro de Imóveis a existência de novas averbações após esta data.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/>
        <w:drawing>
          <wp:inline distT="0" distB="0" distL="0" distR="0">
            <wp:extent cx="4533900" cy="1514475"/>
            <wp:effectExtent l="0" t="0" r="0" b="0"/>
            <wp:docPr id="2" name="Imagem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Web"/>
        <w:spacing w:before="280" w:after="28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Web"/>
        <w:spacing w:before="280" w:after="28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CONDIÇÕES GERAIS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leilão estará a cargo do leiloeiro oficial </w:t>
      </w:r>
      <w:r>
        <w:rPr>
          <w:rFonts w:cs="Times New Roman" w:ascii="Times New Roman" w:hAnsi="Times New Roman"/>
          <w:b/>
          <w:bCs/>
        </w:rPr>
        <w:t>Arnaldo Emílio Colombarolli</w:t>
      </w:r>
      <w:r>
        <w:rPr>
          <w:rFonts w:cs="Times New Roman" w:ascii="Times New Roman" w:hAnsi="Times New Roman"/>
        </w:rPr>
        <w:t>, matrícula Jucemg nº 813 (</w:t>
      </w:r>
      <w:hyperlink r:id="rId4" w:tgtFrame="_new">
        <w:r>
          <w:rPr>
            <w:rStyle w:val="Hyperlink"/>
            <w:rFonts w:cs="Times New Roman" w:ascii="Times New Roman" w:hAnsi="Times New Roman"/>
          </w:rPr>
          <w:t>www.arnaldoleiloes.com.br</w:t>
        </w:r>
      </w:hyperlink>
      <w:r>
        <w:rPr>
          <w:rFonts w:cs="Times New Roman" w:ascii="Times New Roman" w:hAnsi="Times New Roman"/>
        </w:rPr>
        <w:t>), a ser realizado no local, data e horário acima especificados.</w:t>
      </w:r>
    </w:p>
    <w:p>
      <w:pPr>
        <w:pStyle w:val="Normal"/>
        <w:numPr>
          <w:ilvl w:val="0"/>
          <w:numId w:val="1"/>
        </w:numPr>
        <w:suppressAutoHyphens w:val="tru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preço mínimo de alienação foi fixado em </w:t>
      </w:r>
      <w:r>
        <w:rPr>
          <w:rFonts w:cs="Times New Roman" w:ascii="Times New Roman" w:hAnsi="Times New Roman"/>
          <w:b/>
          <w:bCs/>
        </w:rPr>
        <w:t>50% do valor da avaliação</w:t>
      </w:r>
      <w:r>
        <w:rPr>
          <w:rFonts w:cs="Times New Roman" w:ascii="Times New Roman" w:hAnsi="Times New Roman"/>
        </w:rPr>
        <w:t xml:space="preserve"> do bem penhorado, conforme preceitua o art. 891 do CPC. 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 comissão do leiloeiro será de 5</w:t>
      </w:r>
      <w:r>
        <w:rPr>
          <w:rFonts w:cs="Times New Roman" w:ascii="Times New Roman" w:hAnsi="Times New Roman"/>
          <w:b/>
          <w:bCs/>
        </w:rPr>
        <w:t>%</w:t>
      </w:r>
      <w:r>
        <w:rPr>
          <w:rFonts w:cs="Times New Roman" w:ascii="Times New Roman" w:hAnsi="Times New Roman"/>
        </w:rPr>
        <w:t xml:space="preserve"> sobre o valor da arrematação para bens imóveis, a ser paga pelo arrematante, remitente ou adjudicante.</w:t>
      </w:r>
    </w:p>
    <w:p>
      <w:pPr>
        <w:pStyle w:val="ListParagraph"/>
        <w:numPr>
          <w:ilvl w:val="0"/>
          <w:numId w:val="1"/>
        </w:numPr>
        <w:spacing w:lineRule="auto" w:line="240" w:before="0" w:afterAutospacing="1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Os interessados em participar do leilão devem apresentar </w:t>
      </w:r>
      <w:r>
        <w:rPr>
          <w:rFonts w:cs="Times New Roman" w:ascii="Times New Roman" w:hAnsi="Times New Roman"/>
          <w:b/>
          <w:bCs/>
        </w:rPr>
        <w:t>documento de identificação</w:t>
      </w:r>
      <w:r>
        <w:rPr>
          <w:rFonts w:cs="Times New Roman" w:ascii="Times New Roman" w:hAnsi="Times New Roman"/>
        </w:rPr>
        <w:t xml:space="preserve"> (cédula de identidade civil ou CNH, se pessoa física, ou contrato social e cédula de identidade ou CNH do representante legal, se pessoa jurídica).</w:t>
      </w:r>
    </w:p>
    <w:p>
      <w:pPr>
        <w:pStyle w:val="ListParagraph"/>
        <w:spacing w:lineRule="auto" w:line="240" w:beforeAutospacing="1" w:afterAutospacing="1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1"/>
        </w:numPr>
        <w:spacing w:lineRule="auto" w:line="240" w:beforeAutospacing="1" w:after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valor da arrematação deverá ser quitado </w:t>
      </w:r>
      <w:r>
        <w:rPr>
          <w:rFonts w:cs="Times New Roman" w:ascii="Times New Roman" w:hAnsi="Times New Roman"/>
          <w:b/>
          <w:bCs/>
        </w:rPr>
        <w:t>preferencialmente à vista</w:t>
      </w:r>
      <w:r>
        <w:rPr>
          <w:rFonts w:cs="Times New Roman" w:ascii="Times New Roman" w:hAnsi="Times New Roman"/>
        </w:rPr>
        <w:t>, mediante depósito à disposição do Juízo, conforme o art. 245, §1º do Provimento Geral Consolidado/TRT-3ª Região.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Não será devida </w:t>
      </w:r>
      <w:r>
        <w:rPr>
          <w:rFonts w:cs="Times New Roman" w:ascii="Times New Roman" w:hAnsi="Times New Roman"/>
          <w:b/>
          <w:bCs/>
        </w:rPr>
        <w:t>comissão ao leiloeiro</w:t>
      </w:r>
      <w:r>
        <w:rPr>
          <w:rFonts w:cs="Times New Roman" w:ascii="Times New Roman" w:hAnsi="Times New Roman"/>
        </w:rPr>
        <w:t xml:space="preserve"> na hipótese de desistência de que trata o art. 775/CPC anulação ou ineficácia da arrematação ou resultado negativo do leilão.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Em caso de remição ou adjudicação</w:t>
      </w:r>
      <w:r>
        <w:rPr>
          <w:rFonts w:cs="Times New Roman" w:ascii="Times New Roman" w:hAnsi="Times New Roman"/>
        </w:rPr>
        <w:t>, o leiloeiro será remunerado pelo remetente ou adjudicante, com pagamento devido no ato da remição ou antes da assinatura da carta de adjudicação.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houver </w:t>
      </w:r>
      <w:r>
        <w:rPr>
          <w:rFonts w:cs="Times New Roman" w:ascii="Times New Roman" w:hAnsi="Times New Roman"/>
          <w:b/>
          <w:bCs/>
        </w:rPr>
        <w:t>acordo ou remição após o leilão</w:t>
      </w:r>
      <w:r>
        <w:rPr>
          <w:rFonts w:cs="Times New Roman" w:ascii="Times New Roman" w:hAnsi="Times New Roman"/>
        </w:rPr>
        <w:t>, o leiloeiro fará jus à comissão, conforme o art. 246, §1º do Provimento Geral Consolidado/TRT-3ª Região.</w:t>
      </w:r>
    </w:p>
    <w:p>
      <w:pPr>
        <w:pStyle w:val="Normal"/>
        <w:numPr>
          <w:ilvl w:val="0"/>
          <w:numId w:val="1"/>
        </w:numPr>
        <w:ind w:hanging="0" w:left="42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As despesas com transferência do bem, assim como multas e impostos que recaírem sobre     o mesmo, correrão por conta do arrematante ou do adjudicante.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arrematante não poderá alegar desconhecimento das condições do leilão ou das características do bem, sendo de sua responsabilidade verificar </w:t>
      </w:r>
      <w:r>
        <w:rPr>
          <w:rFonts w:cs="Times New Roman" w:ascii="Times New Roman" w:hAnsi="Times New Roman"/>
          <w:b/>
          <w:bCs/>
        </w:rPr>
        <w:t>encargos sobre o bem</w:t>
      </w:r>
      <w:r>
        <w:rPr>
          <w:rFonts w:cs="Times New Roman" w:ascii="Times New Roman" w:hAnsi="Times New Roman"/>
        </w:rPr>
        <w:t>, mesmo que não expressos no edital.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O(s) bem(ns) será(ão) </w:t>
      </w:r>
      <w:r>
        <w:rPr>
          <w:rFonts w:cs="Times New Roman" w:ascii="Times New Roman" w:hAnsi="Times New Roman"/>
          <w:b/>
          <w:bCs/>
        </w:rPr>
        <w:t>vendido(s) no estado de conservação em que se encontra(m)</w:t>
      </w:r>
      <w:r>
        <w:rPr>
          <w:rFonts w:cs="Times New Roman" w:ascii="Times New Roman" w:hAnsi="Times New Roman"/>
        </w:rPr>
        <w:t>, sem garantia. É de responsabilidade do interessado verificar as condições do bem.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valor total da </w:t>
      </w:r>
      <w:r>
        <w:rPr>
          <w:rFonts w:cs="Times New Roman" w:ascii="Times New Roman" w:hAnsi="Times New Roman"/>
          <w:b/>
          <w:bCs/>
        </w:rPr>
        <w:t>arrematação</w:t>
      </w:r>
      <w:r>
        <w:rPr>
          <w:rFonts w:cs="Times New Roman" w:ascii="Times New Roman" w:hAnsi="Times New Roman"/>
        </w:rPr>
        <w:t xml:space="preserve"> deverá ser depositado pelo arrematante no prazo máximo de 2 dias </w:t>
      </w:r>
      <w:r>
        <w:rPr>
          <w:rFonts w:cs="Times New Roman" w:ascii="Times New Roman" w:hAnsi="Times New Roman"/>
          <w:b/>
          <w:bCs/>
        </w:rPr>
        <w:t xml:space="preserve"> após o encerramento do leilão</w:t>
      </w:r>
      <w:r>
        <w:rPr>
          <w:rFonts w:cs="Times New Roman" w:ascii="Times New Roman" w:hAnsi="Times New Roman"/>
        </w:rPr>
        <w:t>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houver </w:t>
      </w:r>
      <w:r>
        <w:rPr>
          <w:rFonts w:cs="Times New Roman" w:ascii="Times New Roman" w:hAnsi="Times New Roman"/>
          <w:b/>
          <w:bCs/>
        </w:rPr>
        <w:t>desistência da arrematação</w:t>
      </w:r>
      <w:r>
        <w:rPr>
          <w:rFonts w:cs="Times New Roman" w:ascii="Times New Roman" w:hAnsi="Times New Roman"/>
        </w:rPr>
        <w:t xml:space="preserve"> fora das hipóteses legais, o arrematante poderá ser </w:t>
      </w:r>
      <w:r>
        <w:rPr>
          <w:rFonts w:cs="Times New Roman" w:ascii="Times New Roman" w:hAnsi="Times New Roman"/>
          <w:b/>
          <w:bCs/>
        </w:rPr>
        <w:t>multado</w:t>
      </w:r>
      <w:r>
        <w:rPr>
          <w:rFonts w:cs="Times New Roman" w:ascii="Times New Roman" w:hAnsi="Times New Roman"/>
        </w:rPr>
        <w:t>, além de ter que pagar a comissão do leiloeiro.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 comissão do leiloeiro </w:t>
      </w:r>
      <w:r>
        <w:rPr>
          <w:rFonts w:cs="Times New Roman" w:ascii="Times New Roman" w:hAnsi="Times New Roman"/>
          <w:b/>
          <w:bCs/>
        </w:rPr>
        <w:t>não será devolvida</w:t>
      </w:r>
      <w:r>
        <w:rPr>
          <w:rFonts w:cs="Times New Roman" w:ascii="Times New Roman" w:hAnsi="Times New Roman"/>
        </w:rPr>
        <w:t xml:space="preserve"> se a arrematação for anulada, invalidada ou considerada ineficaz por culpa do arrematante.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o valor da </w:t>
      </w:r>
      <w:r>
        <w:rPr>
          <w:rFonts w:cs="Times New Roman" w:ascii="Times New Roman" w:hAnsi="Times New Roman"/>
          <w:b/>
          <w:bCs/>
        </w:rPr>
        <w:t>arrematação</w:t>
      </w:r>
      <w:r>
        <w:rPr>
          <w:rFonts w:cs="Times New Roman" w:ascii="Times New Roman" w:hAnsi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cs="Times New Roman" w:ascii="Times New Roman" w:hAnsi="Times New Roman"/>
          <w:b/>
          <w:bCs/>
        </w:rPr>
        <w:t>pena de detenção de dois meses a um ano</w:t>
      </w:r>
      <w:r>
        <w:rPr>
          <w:rFonts w:cs="Times New Roman" w:ascii="Times New Roman" w:hAnsi="Times New Roman"/>
        </w:rPr>
        <w:t>, ou multa, além da pena correspondente à violência.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Ficam intimadas as </w:t>
      </w:r>
      <w:r>
        <w:rPr>
          <w:rFonts w:cs="Times New Roman" w:ascii="Times New Roman" w:hAnsi="Times New Roman"/>
          <w:b/>
          <w:bCs/>
        </w:rPr>
        <w:t>partes, coproprietários, cônjuges, credores hipotecários, fiduciários e credores com penhoras averbadas</w:t>
      </w:r>
      <w:r>
        <w:rPr>
          <w:rFonts w:cs="Times New Roman" w:ascii="Times New Roman" w:hAnsi="Times New Roman"/>
        </w:rPr>
        <w:t>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Ficam intimados o(s) </w:t>
      </w:r>
      <w:r>
        <w:rPr>
          <w:rFonts w:cs="Times New Roman" w:ascii="Times New Roman" w:hAnsi="Times New Roman"/>
          <w:b/>
          <w:bCs/>
        </w:rPr>
        <w:t>devedor(es) e/ou depositário(s)</w:t>
      </w:r>
      <w:r>
        <w:rPr>
          <w:rFonts w:cs="Times New Roman" w:ascii="Times New Roman" w:hAnsi="Times New Roman"/>
        </w:rPr>
        <w:t xml:space="preserve"> não localizado(s).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Fica, desde logo, autorizado o acesso do Leiloeiro nomeado aos bens objeto de praça, inclusive para fotografá-los(Prov.04/2007), sujeitando-se o executado à multa no importe de 20%(vinte por cento) sobre o valor da execução(art. 774, CPC), sem prejuízo da ação penal cabível(art. 330 do CP), caso oponha obstáculo aos trabalhos dos Leiloeiros, no exercício de seu mister.</w:t>
      </w:r>
    </w:p>
    <w:p>
      <w:pPr>
        <w:pStyle w:val="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 arrematação será considerada concluída somente após a </w:t>
      </w:r>
      <w:r>
        <w:rPr>
          <w:rFonts w:cs="Times New Roman" w:ascii="Times New Roman" w:hAnsi="Times New Roman"/>
          <w:b/>
          <w:bCs/>
        </w:rPr>
        <w:t>homologação pelo MM Juiz</w:t>
      </w:r>
      <w:r>
        <w:rPr>
          <w:rFonts w:cs="Times New Roman" w:ascii="Times New Roman" w:hAnsi="Times New Roman"/>
        </w:rPr>
        <w:t xml:space="preserve"> da vara competente.</w:t>
      </w:r>
    </w:p>
    <w:p>
      <w:pPr>
        <w:pStyle w:val="Normal"/>
        <w:numPr>
          <w:ilvl w:val="0"/>
          <w:numId w:val="1"/>
        </w:numPr>
        <w:spacing w:before="0" w:after="1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LEIA O EDITAL.</w:t>
      </w:r>
      <w:r>
        <w:rPr>
          <w:rFonts w:cs="Times New Roman" w:ascii="Times New Roman" w:hAnsi="Times New Roman"/>
        </w:rPr>
        <w:t xml:space="preserve"> Em caso de dúvida, o que estiver disposto no edital é o que prevalecerá.</w:t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50759"/>
    <w:pPr>
      <w:widowControl/>
      <w:bidi w:val="0"/>
      <w:spacing w:lineRule="auto" w:line="259" w:before="0" w:after="16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e50759"/>
    <w:rPr>
      <w:color w:themeColor="hyperlink" w:val="0563C1"/>
      <w:u w:val="single"/>
    </w:rPr>
  </w:style>
  <w:style w:type="character" w:styleId="Strong">
    <w:name w:val="Strong"/>
    <w:basedOn w:val="DefaultParagraphFont"/>
    <w:uiPriority w:val="22"/>
    <w:qFormat/>
    <w:rsid w:val="00e50759"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50759"/>
    <w:pPr>
      <w:spacing w:before="0" w:after="160"/>
      <w:ind w:left="720"/>
      <w:contextualSpacing/>
    </w:pPr>
    <w:rPr/>
  </w:style>
  <w:style w:type="paragraph" w:styleId="NoSpacing">
    <w:name w:val="No Spacing"/>
    <w:uiPriority w:val="1"/>
    <w:qFormat/>
    <w:rsid w:val="00e50759"/>
    <w:pPr>
      <w:widowControl/>
      <w:bidi w:val="0"/>
      <w:spacing w:lineRule="auto" w:line="240" w:before="0" w:after="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e50759"/>
    <w:pPr>
      <w:suppressAutoHyphens w:val="true"/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arnaldoleiloes.com.br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LibreOffice/25.2.6.2$Windows_X86_64 LibreOffice_project/729c5bfe710f5eb71ed3bbde9e06a6065e9c6c5d</Application>
  <AppVersion>15.0000</AppVersion>
  <Pages>4</Pages>
  <Words>978</Words>
  <Characters>5204</Characters>
  <CharactersWithSpaces>6100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2025-11-17T14:21:00Z</dcterms:created>
  <dc:creator>Dep_pessoal8</dc:creator>
  <dc:description/>
  <dc:language>pt-BR</dc:language>
  <cp:lastModifiedBy/>
  <dcterms:modified xsi:type="dcterms:W3CDTF">2025-11-17T14:49:47Z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