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EDITAL DE LEILÃO</w:t>
      </w:r>
    </w:p>
    <w:p>
      <w:pPr>
        <w:pStyle w:val="NoSpacing"/>
        <w:jc w:val="center"/>
        <w:rPr/>
      </w:pPr>
      <w:r>
        <w:rPr>
          <w:rFonts w:cs="Times New Roman" w:ascii="Times New Roman" w:hAnsi="Times New Roman"/>
          <w:b/>
          <w:bCs/>
        </w:rPr>
        <w:t>41ª Vara do Trabalho de Belo Horizonte</w:t>
        <w:br/>
      </w:r>
      <w:r>
        <w:rPr>
          <w:rFonts w:cs="Arial" w:ascii="Arial" w:hAnsi="Arial"/>
          <w:color w:val="222222"/>
          <w:shd w:fill="FFFFFF" w:val="clear"/>
        </w:rPr>
        <w:t>Rua Paracatu, 304 - 9º andar.</w:t>
      </w:r>
      <w:r>
        <w:rPr>
          <w:rFonts w:cs="Arial" w:ascii="Arial" w:hAnsi="Arial"/>
          <w:color w:val="222222"/>
        </w:rPr>
        <w:br/>
      </w:r>
      <w:r>
        <w:rPr>
          <w:rFonts w:cs="Arial" w:ascii="Arial" w:hAnsi="Arial"/>
          <w:color w:val="222222"/>
          <w:shd w:fill="FFFFFF" w:val="clear"/>
        </w:rPr>
        <w:t>Barro Preto, Belo Horizonte/MG, CEP 30190-055</w:t>
      </w:r>
      <w:r>
        <w:rPr>
          <w:rFonts w:cs="Arial" w:ascii="Arial" w:hAnsi="Arial"/>
          <w:color w:val="222222"/>
        </w:rPr>
        <w:br/>
      </w:r>
      <w:r>
        <w:rPr>
          <w:rFonts w:cs="Arial" w:ascii="Arial" w:hAnsi="Arial"/>
          <w:color w:val="222222"/>
          <w:shd w:fill="FFFFFF" w:val="clear"/>
        </w:rPr>
        <w:t>Tel.: (31) 3330-7541 - </w:t>
      </w:r>
      <w:hyperlink r:id="rId2" w:tgtFrame="_blank">
        <w:r>
          <w:rPr>
            <w:rStyle w:val="Hyperlink"/>
            <w:rFonts w:cs="Arial" w:ascii="Arial" w:hAnsi="Arial"/>
            <w:color w:val="1155CC"/>
            <w:shd w:fill="FFFFFF" w:val="clear"/>
          </w:rPr>
          <w:t>varabh41@trt3.jus.br</w:t>
        </w:r>
      </w:hyperlink>
    </w:p>
    <w:p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Spacing"/>
        <w:rPr>
          <w:rStyle w:val="Strong"/>
        </w:rPr>
      </w:pPr>
      <w:r>
        <w:rPr>
          <w:rFonts w:cs="Times New Roman" w:ascii="Times New Roman" w:hAnsi="Times New Roman"/>
          <w:b/>
        </w:rPr>
        <w:t xml:space="preserve">PROCESSO: </w:t>
      </w:r>
      <w:bookmarkStart w:id="0" w:name="_GoBack"/>
      <w:r>
        <w:rPr>
          <w:rStyle w:val="Strong"/>
        </w:rPr>
        <w:t>0011537-73.2016.5.03.0179</w:t>
      </w:r>
      <w:bookmarkEnd w:id="0"/>
    </w:p>
    <w:p>
      <w:pPr>
        <w:pStyle w:val="NoSpacing"/>
        <w:rPr>
          <w:rStyle w:val="Strong"/>
        </w:rPr>
      </w:pPr>
      <w:r>
        <w:rPr>
          <w:rStyle w:val="Strong"/>
        </w:rPr>
        <w:t>AUTOR: OSMAR RODRIGUES DIAS</w:t>
      </w:r>
    </w:p>
    <w:p>
      <w:pPr>
        <w:pStyle w:val="NoSpacing"/>
        <w:rPr>
          <w:rStyle w:val="Strong"/>
        </w:rPr>
      </w:pPr>
      <w:r>
        <w:rPr>
          <w:rStyle w:val="Strong"/>
        </w:rPr>
        <w:t>RÉU: TRANSIMAO TRANSPORTES RODOVIARIOS LTDA E OUTROS (1)</w:t>
      </w:r>
    </w:p>
    <w:p>
      <w:pPr>
        <w:pStyle w:val="NoSpacing"/>
        <w:rPr>
          <w:rFonts w:ascii="Times New Roman" w:hAnsi="Times New Roman" w:eastAsia="Times New Roman" w:cs="Times New Roman"/>
          <w:b/>
          <w:bCs/>
          <w:kern w:val="0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DATA E LOCAL DO LEILÃO</w:t>
      </w:r>
      <w:r>
        <w:rPr>
          <w:rFonts w:cs="Times New Roman" w:ascii="Times New Roman" w:hAnsi="Times New Roman"/>
        </w:rPr>
        <w:br/>
      </w:r>
      <w:r>
        <w:rPr>
          <w:rFonts w:cs="Times New Roman" w:ascii="Times New Roman" w:hAnsi="Times New Roman"/>
          <w:b/>
          <w:bCs/>
        </w:rPr>
        <w:t>Leilão Virtual e Presencial</w:t>
      </w:r>
      <w:r>
        <w:rPr>
          <w:rFonts w:cs="Times New Roman" w:ascii="Times New Roman" w:hAnsi="Times New Roman"/>
        </w:rPr>
        <w:br/>
      </w:r>
      <w:r>
        <w:rPr>
          <w:rFonts w:cs="Times New Roman" w:ascii="Times New Roman" w:hAnsi="Times New Roman"/>
          <w:b/>
          <w:bCs/>
        </w:rPr>
        <w:t>Data e Hora: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</w:rPr>
        <w:t>10/12/2025</w:t>
      </w:r>
      <w:r>
        <w:rPr>
          <w:rFonts w:cs="Times New Roman" w:ascii="Times New Roman" w:hAnsi="Times New Roman"/>
        </w:rPr>
        <w:t>, às 14h00.</w:t>
        <w:br/>
      </w:r>
      <w:r>
        <w:rPr>
          <w:rFonts w:cs="Times New Roman" w:ascii="Times New Roman" w:hAnsi="Times New Roman"/>
          <w:b/>
          <w:bCs/>
        </w:rPr>
        <w:t>Local Presencial:</w:t>
      </w:r>
      <w:r>
        <w:rPr>
          <w:rFonts w:cs="Times New Roman" w:ascii="Times New Roman" w:hAnsi="Times New Roman"/>
        </w:rPr>
        <w:t xml:space="preserve"> Rua Sacadura Cabral, nº 680, Vila Oeste, Belo Horizonte/MG.</w:t>
        <w:br/>
      </w:r>
      <w:r>
        <w:rPr>
          <w:rFonts w:cs="Times New Roman" w:ascii="Times New Roman" w:hAnsi="Times New Roman"/>
          <w:b/>
          <w:bCs/>
        </w:rPr>
        <w:t>Modalidade:</w:t>
      </w:r>
      <w:r>
        <w:rPr>
          <w:rFonts w:cs="Times New Roman" w:ascii="Times New Roman" w:hAnsi="Times New Roman"/>
        </w:rPr>
        <w:t xml:space="preserve"> Virtual e Presencial.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DATA E LOCAL DO LEILÃO</w:t>
      </w:r>
      <w:r>
        <w:rPr>
          <w:rFonts w:cs="Times New Roman" w:ascii="Times New Roman" w:hAnsi="Times New Roman"/>
        </w:rPr>
        <w:br/>
      </w:r>
      <w:r>
        <w:rPr>
          <w:rFonts w:cs="Times New Roman" w:ascii="Times New Roman" w:hAnsi="Times New Roman"/>
          <w:b/>
          <w:bCs/>
        </w:rPr>
        <w:t>Leilão Virtual e Presencial</w:t>
      </w:r>
      <w:r>
        <w:rPr>
          <w:rFonts w:cs="Times New Roman" w:ascii="Times New Roman" w:hAnsi="Times New Roman"/>
        </w:rPr>
        <w:br/>
      </w:r>
      <w:r>
        <w:rPr>
          <w:rFonts w:cs="Times New Roman" w:ascii="Times New Roman" w:hAnsi="Times New Roman"/>
          <w:b/>
          <w:bCs/>
        </w:rPr>
        <w:t>Data e Hora: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</w:rPr>
        <w:t>05/02/2026</w:t>
      </w:r>
      <w:r>
        <w:rPr>
          <w:rFonts w:cs="Times New Roman" w:ascii="Times New Roman" w:hAnsi="Times New Roman"/>
        </w:rPr>
        <w:t>, às 14h00.</w:t>
        <w:br/>
      </w:r>
      <w:r>
        <w:rPr>
          <w:rFonts w:cs="Times New Roman" w:ascii="Times New Roman" w:hAnsi="Times New Roman"/>
          <w:b/>
          <w:bCs/>
        </w:rPr>
        <w:t>Local Presencial:</w:t>
      </w:r>
      <w:r>
        <w:rPr>
          <w:rFonts w:cs="Times New Roman" w:ascii="Times New Roman" w:hAnsi="Times New Roman"/>
        </w:rPr>
        <w:t xml:space="preserve"> Rua Sacadura Cabral, nº 680, Vila Oeste, Belo Horizonte/MG.</w:t>
        <w:br/>
      </w:r>
      <w:r>
        <w:rPr>
          <w:rFonts w:cs="Times New Roman" w:ascii="Times New Roman" w:hAnsi="Times New Roman"/>
          <w:b/>
          <w:bCs/>
        </w:rPr>
        <w:t>Modalidade:</w:t>
      </w:r>
      <w:r>
        <w:rPr>
          <w:rFonts w:cs="Times New Roman" w:ascii="Times New Roman" w:hAnsi="Times New Roman"/>
        </w:rPr>
        <w:t xml:space="preserve"> Virtual e Presencial.</w:t>
      </w:r>
    </w:p>
    <w:p>
      <w:pPr>
        <w:pStyle w:val="Normal"/>
        <w:pBdr>
          <w:bottom w:val="single" w:sz="4" w:space="1" w:color="000000"/>
        </w:pBd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  <w:color w:val="FF0000"/>
        </w:rPr>
      </w:pPr>
      <w:r>
        <w:rPr>
          <w:rFonts w:cs="Times New Roman" w:ascii="Times New Roman" w:hAnsi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>
      <w:pPr>
        <w:pStyle w:val="Normal"/>
        <w:pBdr>
          <w:bottom w:val="single" w:sz="4" w:space="1" w:color="000000"/>
        </w:pBdr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jc w:val="both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DESCRIÇÃO DO BEM PENHORADO:</w:t>
      </w:r>
    </w:p>
    <w:p>
      <w:pPr>
        <w:pStyle w:val="NoSpacing"/>
        <w:jc w:val="both"/>
        <w:rPr>
          <w:rFonts w:ascii="Times New Roman" w:hAnsi="Times New Roman" w:cs="Times New Roman"/>
          <w:lang w:eastAsia="pt-BR"/>
        </w:rPr>
      </w:pPr>
      <w:r>
        <w:rPr>
          <w:rFonts w:cs="Times New Roman" w:ascii="Times New Roman" w:hAnsi="Times New Roman"/>
          <w:b/>
          <w:lang w:eastAsia="pt-BR"/>
        </w:rPr>
        <w:t>LOTE 01-</w:t>
      </w:r>
      <w:r>
        <w:rPr>
          <w:rFonts w:cs="Times New Roman" w:ascii="Times New Roman" w:hAnsi="Times New Roman"/>
          <w:lang w:eastAsia="pt-BR"/>
        </w:rPr>
        <w:t xml:space="preserve"> Um veículo de transporte coletivo urbano, placas </w:t>
      </w:r>
      <w:r>
        <w:rPr>
          <w:rFonts w:cs="Times New Roman" w:ascii="Times New Roman" w:hAnsi="Times New Roman"/>
          <w:b/>
          <w:bCs/>
          <w:lang w:eastAsia="pt-BR"/>
        </w:rPr>
        <w:t>HIJ 3899</w:t>
      </w:r>
      <w:r>
        <w:rPr>
          <w:rFonts w:cs="Times New Roman" w:ascii="Times New Roman" w:hAnsi="Times New Roman"/>
          <w:lang w:eastAsia="pt-BR"/>
        </w:rPr>
        <w:t xml:space="preserve">, em funcionamento, em inadequado estado de conservação”. Ano/modelo </w:t>
      </w:r>
      <w:r>
        <w:rPr>
          <w:rFonts w:cs="Times New Roman" w:ascii="Times New Roman" w:hAnsi="Times New Roman"/>
          <w:b/>
          <w:bCs/>
          <w:lang w:eastAsia="pt-BR"/>
        </w:rPr>
        <w:t>200</w:t>
      </w:r>
      <w:r>
        <w:rPr>
          <w:rFonts w:cs="Times New Roman" w:ascii="Times New Roman" w:hAnsi="Times New Roman"/>
          <w:b/>
          <w:bCs/>
          <w:lang w:eastAsia="pt-BR"/>
        </w:rPr>
        <w:t>8</w:t>
      </w:r>
      <w:r>
        <w:rPr>
          <w:rFonts w:cs="Times New Roman" w:ascii="Times New Roman" w:hAnsi="Times New Roman"/>
          <w:b/>
          <w:bCs/>
          <w:lang w:eastAsia="pt-BR"/>
        </w:rPr>
        <w:t>/2008</w:t>
      </w:r>
      <w:r>
        <w:rPr>
          <w:rFonts w:cs="Times New Roman" w:ascii="Times New Roman" w:hAnsi="Times New Roman"/>
          <w:lang w:eastAsia="pt-BR"/>
        </w:rPr>
        <w:t xml:space="preserve">, chassi </w:t>
      </w:r>
      <w:r>
        <w:rPr>
          <w:rFonts w:cs="Times New Roman" w:ascii="Times New Roman" w:hAnsi="Times New Roman"/>
          <w:b/>
          <w:bCs/>
          <w:lang w:eastAsia="pt-BR"/>
        </w:rPr>
        <w:t>9BM384067</w:t>
      </w:r>
      <w:r>
        <w:rPr>
          <w:rFonts w:cs="Times New Roman" w:ascii="Times New Roman" w:hAnsi="Times New Roman"/>
          <w:b/>
          <w:bCs/>
          <w:lang w:eastAsia="pt-BR"/>
        </w:rPr>
        <w:t>8</w:t>
      </w:r>
      <w:r>
        <w:rPr>
          <w:rFonts w:cs="Times New Roman" w:ascii="Times New Roman" w:hAnsi="Times New Roman"/>
          <w:b/>
          <w:bCs/>
          <w:lang w:eastAsia="pt-BR"/>
        </w:rPr>
        <w:t>B615177</w:t>
      </w:r>
      <w:r>
        <w:rPr>
          <w:rFonts w:cs="Times New Roman" w:ascii="Times New Roman" w:hAnsi="Times New Roman"/>
          <w:lang w:eastAsia="pt-BR"/>
        </w:rPr>
        <w:t xml:space="preserve">, avaliado em </w:t>
      </w:r>
      <w:r>
        <w:rPr>
          <w:rFonts w:cs="Times New Roman" w:ascii="Times New Roman" w:hAnsi="Times New Roman"/>
          <w:b/>
          <w:bCs/>
          <w:lang w:eastAsia="pt-BR"/>
        </w:rPr>
        <w:t>R$ 70.000,00 (setenta mil reais)</w:t>
      </w:r>
      <w:r>
        <w:rPr>
          <w:rFonts w:cs="Times New Roman" w:ascii="Times New Roman" w:hAnsi="Times New Roman"/>
          <w:lang w:eastAsia="pt-BR"/>
        </w:rPr>
        <w:t>.</w:t>
      </w:r>
    </w:p>
    <w:p>
      <w:pPr>
        <w:pStyle w:val="NoSpacing"/>
        <w:jc w:val="both"/>
        <w:rPr>
          <w:rFonts w:ascii="Times New Roman" w:hAnsi="Times New Roman" w:cs="Times New Roman"/>
          <w:lang w:eastAsia="pt-BR"/>
        </w:rPr>
      </w:pPr>
      <w:r>
        <w:rPr>
          <w:rFonts w:cs="Times New Roman" w:ascii="Times New Roman" w:hAnsi="Times New Roman"/>
          <w:lang w:eastAsia="pt-BR"/>
        </w:rPr>
      </w:r>
    </w:p>
    <w:p>
      <w:pPr>
        <w:pStyle w:val="NoSpacing"/>
        <w:jc w:val="both"/>
        <w:rPr>
          <w:rFonts w:ascii="Times New Roman" w:hAnsi="Times New Roman" w:cs="Times New Roman"/>
          <w:lang w:eastAsia="pt-BR"/>
        </w:rPr>
      </w:pPr>
      <w:r>
        <w:rPr>
          <w:rFonts w:cs="Times New Roman" w:ascii="Times New Roman" w:hAnsi="Times New Roman"/>
          <w:b/>
          <w:bCs/>
          <w:lang w:eastAsia="pt-BR"/>
        </w:rPr>
        <w:t>LOTE 2-</w:t>
      </w:r>
      <w:r>
        <w:rPr>
          <w:rFonts w:cs="Times New Roman" w:ascii="Times New Roman" w:hAnsi="Times New Roman"/>
          <w:lang w:eastAsia="pt-BR"/>
        </w:rPr>
        <w:t xml:space="preserve">Um veículo de transporte coletivo urbano, placas </w:t>
      </w:r>
      <w:r>
        <w:rPr>
          <w:rFonts w:cs="Times New Roman" w:ascii="Times New Roman" w:hAnsi="Times New Roman"/>
          <w:b/>
          <w:bCs/>
          <w:lang w:eastAsia="pt-BR"/>
        </w:rPr>
        <w:t>HIJ 3901</w:t>
      </w:r>
      <w:r>
        <w:rPr>
          <w:rFonts w:cs="Times New Roman" w:ascii="Times New Roman" w:hAnsi="Times New Roman"/>
          <w:lang w:eastAsia="pt-BR"/>
        </w:rPr>
        <w:t xml:space="preserve">, em funcionamento, também em “inadequado estado de conservação”. Ano/modelo </w:t>
      </w:r>
      <w:r>
        <w:rPr>
          <w:rFonts w:cs="Times New Roman" w:ascii="Times New Roman" w:hAnsi="Times New Roman"/>
          <w:b/>
          <w:bCs/>
          <w:lang w:eastAsia="pt-BR"/>
        </w:rPr>
        <w:t>200</w:t>
      </w:r>
      <w:r>
        <w:rPr>
          <w:rFonts w:cs="Times New Roman" w:ascii="Times New Roman" w:hAnsi="Times New Roman"/>
          <w:b/>
          <w:bCs/>
          <w:lang w:eastAsia="pt-BR"/>
        </w:rPr>
        <w:t>8</w:t>
      </w:r>
      <w:r>
        <w:rPr>
          <w:rFonts w:cs="Times New Roman" w:ascii="Times New Roman" w:hAnsi="Times New Roman"/>
          <w:b/>
          <w:bCs/>
          <w:lang w:eastAsia="pt-BR"/>
        </w:rPr>
        <w:t>/200</w:t>
      </w:r>
      <w:r>
        <w:rPr>
          <w:rFonts w:cs="Times New Roman" w:ascii="Times New Roman" w:hAnsi="Times New Roman"/>
          <w:b/>
          <w:bCs/>
          <w:lang w:eastAsia="pt-BR"/>
        </w:rPr>
        <w:t>8</w:t>
      </w:r>
      <w:r>
        <w:rPr>
          <w:rFonts w:cs="Times New Roman" w:ascii="Times New Roman" w:hAnsi="Times New Roman"/>
          <w:lang w:eastAsia="pt-BR"/>
        </w:rPr>
        <w:t xml:space="preserve">, chassi </w:t>
      </w:r>
      <w:r>
        <w:rPr>
          <w:rFonts w:cs="Times New Roman" w:ascii="Times New Roman" w:hAnsi="Times New Roman"/>
          <w:b/>
          <w:bCs/>
          <w:lang w:eastAsia="pt-BR"/>
        </w:rPr>
        <w:t>9BM3840678 B61</w:t>
      </w:r>
      <w:r>
        <w:rPr>
          <w:rFonts w:cs="Times New Roman" w:ascii="Times New Roman" w:hAnsi="Times New Roman"/>
          <w:b/>
          <w:bCs/>
          <w:lang w:eastAsia="pt-BR"/>
        </w:rPr>
        <w:t>52</w:t>
      </w:r>
      <w:r>
        <w:rPr>
          <w:rFonts w:cs="Times New Roman" w:ascii="Times New Roman" w:hAnsi="Times New Roman"/>
          <w:b/>
          <w:bCs/>
          <w:lang w:eastAsia="pt-BR"/>
        </w:rPr>
        <w:t>60</w:t>
      </w:r>
      <w:r>
        <w:rPr>
          <w:rFonts w:cs="Times New Roman" w:ascii="Times New Roman" w:hAnsi="Times New Roman"/>
          <w:lang w:eastAsia="pt-BR"/>
        </w:rPr>
        <w:t xml:space="preserve">, marca </w:t>
      </w:r>
      <w:r>
        <w:rPr>
          <w:rFonts w:cs="Times New Roman" w:ascii="Times New Roman" w:hAnsi="Times New Roman"/>
          <w:b/>
          <w:bCs/>
          <w:lang w:eastAsia="pt-BR"/>
        </w:rPr>
        <w:t>M. Benz / Polo Torino GV</w:t>
      </w:r>
      <w:r>
        <w:rPr>
          <w:rFonts w:cs="Times New Roman" w:ascii="Times New Roman" w:hAnsi="Times New Roman"/>
          <w:lang w:eastAsia="pt-BR"/>
        </w:rPr>
        <w:t xml:space="preserve">, avaliado em </w:t>
      </w:r>
      <w:r>
        <w:rPr>
          <w:rFonts w:cs="Times New Roman" w:ascii="Times New Roman" w:hAnsi="Times New Roman"/>
          <w:b/>
          <w:bCs/>
          <w:lang w:eastAsia="pt-BR"/>
        </w:rPr>
        <w:t>R$ 70.000,00 (setenta  mil reais)</w:t>
      </w:r>
      <w:r>
        <w:rPr>
          <w:rFonts w:cs="Times New Roman" w:ascii="Times New Roman" w:hAnsi="Times New Roman"/>
          <w:lang w:eastAsia="pt-BR"/>
        </w:rPr>
        <w:t>.</w:t>
      </w:r>
    </w:p>
    <w:p>
      <w:pPr>
        <w:pStyle w:val="NoSpacing"/>
        <w:jc w:val="both"/>
        <w:rPr>
          <w:rFonts w:ascii="Times New Roman" w:hAnsi="Times New Roman" w:cs="Times New Roman"/>
          <w:lang w:eastAsia="pt-BR"/>
        </w:rPr>
      </w:pPr>
      <w:r>
        <w:rPr>
          <w:rFonts w:cs="Times New Roman" w:ascii="Times New Roman" w:hAnsi="Times New Roman"/>
          <w:lang w:eastAsia="pt-BR"/>
        </w:rPr>
      </w:r>
    </w:p>
    <w:p>
      <w:pPr>
        <w:pStyle w:val="NoSpacing"/>
        <w:jc w:val="both"/>
        <w:rPr>
          <w:rFonts w:ascii="Times New Roman" w:hAnsi="Times New Roman" w:eastAsia="Times New Roman" w:cs="Times New Roman"/>
          <w:kern w:val="0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 xml:space="preserve">LOTE 3 - </w:t>
      </w: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  <w:t xml:space="preserve">Um veículo de transporte coletivo urbano, placas 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 xml:space="preserve">HIJ 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4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989</w:t>
      </w: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  <w:t xml:space="preserve">, em funcionamento, em “inadequado estado de conservação”. Ano/modelo 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200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9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/2009</w:t>
      </w: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  <w:t xml:space="preserve">, chassi 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9BM3840679B6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4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5174</w:t>
      </w: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  <w:t xml:space="preserve">, marca 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M. Benz / Polo Torino V</w:t>
      </w: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  <w:t xml:space="preserve">, avaliado em </w:t>
      </w:r>
      <w:r>
        <w:rPr>
          <w:rFonts w:eastAsia="Times New Roman" w:cs="Times New Roman" w:ascii="Times New Roman" w:hAnsi="Times New Roman"/>
          <w:b/>
          <w:bCs/>
          <w:kern w:val="0"/>
          <w:lang w:eastAsia="pt-BR"/>
          <w14:ligatures w14:val="none"/>
        </w:rPr>
        <w:t>R$ 70.000,00 (setenta mil reais)</w:t>
      </w: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  <w:t>.</w:t>
      </w:r>
    </w:p>
    <w:p>
      <w:pPr>
        <w:pStyle w:val="NoSpacing"/>
        <w:jc w:val="both"/>
        <w:rPr>
          <w:rFonts w:ascii="Times New Roman" w:hAnsi="Times New Roman" w:eastAsia="Times New Roman" w:cs="Times New Roman"/>
          <w:kern w:val="0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 xml:space="preserve">TOTAL DA AVALIAÇÃO: </w:t>
      </w:r>
      <w:r>
        <w:rPr>
          <w:rFonts w:cs="Times New Roman" w:ascii="Times New Roman" w:hAnsi="Times New Roman"/>
          <w:b/>
          <w:bCs/>
        </w:rPr>
        <w:t>R$ 210.000,00 ( duzentos e dez mil reais).</w:t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Spacing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ENDEREÇO: Av. WIlson Tavares Ribeiro, 1.045- Chácaras Reunidas-Contagem/MG.</w:t>
      </w:r>
    </w:p>
    <w:p>
      <w:pPr>
        <w:pStyle w:val="NoSpacing"/>
        <w:jc w:val="both"/>
        <w:rPr>
          <w:rFonts w:ascii="Times New Roman" w:hAnsi="Times New Roman" w:eastAsia="Times New Roman" w:cs="Times New Roman"/>
          <w:kern w:val="0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kern w:val="0"/>
          <w:lang w:eastAsia="pt-BR"/>
          <w14:ligatures w14:val="none"/>
        </w:rPr>
      </w:r>
    </w:p>
    <w:p>
      <w:pPr>
        <w:pStyle w:val="NoSpacing"/>
        <w:jc w:val="both"/>
        <w:rPr>
          <w:rFonts w:ascii="Times New Roman" w:hAnsi="Times New Roman" w:eastAsia="Times New Roman" w:cs="Times New Roman"/>
          <w:b/>
          <w:kern w:val="0"/>
          <w:lang w:eastAsia="pt-BR"/>
          <w14:ligatures w14:val="none"/>
        </w:rPr>
      </w:pPr>
      <w:r>
        <w:rPr>
          <w:rFonts w:eastAsia="Times New Roman" w:cs="Times New Roman" w:ascii="Times New Roman" w:hAnsi="Times New Roman"/>
          <w:b/>
          <w:kern w:val="0"/>
          <w:lang w:eastAsia="pt-BR"/>
          <w14:ligatures w14:val="none"/>
        </w:rPr>
        <w:t xml:space="preserve">ÔNUS: </w:t>
      </w:r>
      <w:r>
        <w:rPr/>
        <w:t xml:space="preserve">Estão anexadas ao edital todas as consultas e informações sobre a situação dos veículos, incluindo possíveis ônus ou restrições, que passam a fazer parte integrante do documento, cabendo o interessado verificar junto ao DETRAN/MG outras informações. </w:t>
      </w:r>
    </w:p>
    <w:p>
      <w:pPr>
        <w:pStyle w:val="Normal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  </w:t>
      </w:r>
    </w:p>
    <w:p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OBSERVAÇÕES: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leilão estará a cargo do leiloeiro oficial </w:t>
      </w:r>
      <w:r>
        <w:rPr>
          <w:rFonts w:cs="Times New Roman" w:ascii="Times New Roman" w:hAnsi="Times New Roman"/>
          <w:b/>
          <w:bCs/>
        </w:rPr>
        <w:t>Arnaldo Emílio Colombarolli</w:t>
      </w:r>
      <w:r>
        <w:rPr>
          <w:rFonts w:cs="Times New Roman" w:ascii="Times New Roman" w:hAnsi="Times New Roman"/>
        </w:rPr>
        <w:t>, matrícula Jucemg nº 813 (</w:t>
      </w:r>
      <w:hyperlink r:id="rId3" w:tgtFrame="_new">
        <w:r>
          <w:rPr>
            <w:rStyle w:val="Hyperlink"/>
            <w:rFonts w:cs="Times New Roman" w:ascii="Times New Roman" w:hAnsi="Times New Roman"/>
          </w:rPr>
          <w:t>www.arnaldoleiloes.com.br</w:t>
        </w:r>
      </w:hyperlink>
      <w:r>
        <w:rPr>
          <w:rFonts w:cs="Times New Roman" w:ascii="Times New Roman" w:hAnsi="Times New Roman"/>
        </w:rPr>
        <w:t>), a ser realizado no local, data e horário acima especificados.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 preço mínimo de alienação foi fixado em 5</w:t>
      </w:r>
      <w:r>
        <w:rPr>
          <w:rFonts w:cs="Times New Roman" w:ascii="Times New Roman" w:hAnsi="Times New Roman"/>
          <w:b/>
          <w:bCs/>
        </w:rPr>
        <w:t>0% do valor da avaliação</w:t>
      </w:r>
      <w:r>
        <w:rPr>
          <w:rFonts w:cs="Times New Roman" w:ascii="Times New Roman" w:hAnsi="Times New Roman"/>
        </w:rPr>
        <w:t xml:space="preserve"> do bem penhorado, nos termos do despacho. 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comissão do leiloeiro será de 5</w:t>
      </w:r>
      <w:r>
        <w:rPr>
          <w:rFonts w:cs="Times New Roman" w:ascii="Times New Roman" w:hAnsi="Times New Roman"/>
          <w:b/>
          <w:bCs/>
        </w:rPr>
        <w:t>%</w:t>
      </w:r>
      <w:r>
        <w:rPr>
          <w:rFonts w:cs="Times New Roman" w:ascii="Times New Roman" w:hAnsi="Times New Roman"/>
        </w:rPr>
        <w:t xml:space="preserve"> sobre o valor da arrematação para bens móveis, a ser paga pelo arrematante, remitente ou adjudicante.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Os interessados em participar do leilão devem apresentar </w:t>
      </w:r>
      <w:r>
        <w:rPr>
          <w:rFonts w:cs="Times New Roman" w:ascii="Times New Roman" w:hAnsi="Times New Roman"/>
          <w:b/>
          <w:bCs/>
        </w:rPr>
        <w:t>documento de identificação</w:t>
      </w:r>
      <w:r>
        <w:rPr>
          <w:rFonts w:cs="Times New Roman" w:ascii="Times New Roman" w:hAnsi="Times New Roman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da arrematação deverá ser quitado </w:t>
      </w:r>
      <w:r>
        <w:rPr>
          <w:rFonts w:cs="Times New Roman" w:ascii="Times New Roman" w:hAnsi="Times New Roman"/>
          <w:b/>
          <w:bCs/>
        </w:rPr>
        <w:t>preferencialmente à vista</w:t>
      </w:r>
      <w:r>
        <w:rPr>
          <w:rFonts w:cs="Times New Roman" w:ascii="Times New Roman" w:hAnsi="Times New Roman"/>
        </w:rPr>
        <w:t>, mediante depósito à disposição do Juízo, conforme o art. 245, §1º do Provimento Geral Consolidado/TRT-3ª Região.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Em caso de </w:t>
      </w:r>
      <w:r>
        <w:rPr>
          <w:rFonts w:cs="Times New Roman" w:ascii="Times New Roman" w:hAnsi="Times New Roman"/>
          <w:b/>
          <w:bCs/>
        </w:rPr>
        <w:t>desfeita da arrematação</w:t>
      </w:r>
      <w:r>
        <w:rPr>
          <w:rFonts w:cs="Times New Roman" w:ascii="Times New Roman" w:hAnsi="Times New Roman"/>
        </w:rPr>
        <w:t xml:space="preserve">, remição ou adjudicação, os valores depositados serão </w:t>
      </w:r>
      <w:r>
        <w:rPr>
          <w:rFonts w:cs="Times New Roman" w:ascii="Times New Roman" w:hAnsi="Times New Roman"/>
          <w:b/>
          <w:bCs/>
        </w:rPr>
        <w:t>restituídos ao arrematante</w:t>
      </w:r>
      <w:r>
        <w:rPr>
          <w:rFonts w:cs="Times New Roman" w:ascii="Times New Roman" w:hAnsi="Times New Roman"/>
        </w:rPr>
        <w:t>, inclusive a comissão do leiloeiro, se for o caso.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Não será devida </w:t>
      </w:r>
      <w:r>
        <w:rPr>
          <w:rFonts w:cs="Times New Roman" w:ascii="Times New Roman" w:hAnsi="Times New Roman"/>
          <w:b/>
          <w:bCs/>
        </w:rPr>
        <w:t>comissão ao leiloeiro</w:t>
      </w:r>
      <w:r>
        <w:rPr>
          <w:rFonts w:cs="Times New Roman" w:ascii="Times New Roman" w:hAnsi="Times New Roman"/>
        </w:rPr>
        <w:t xml:space="preserve"> na hipótese de desistência de que trata o art. 775/CPC anulação ou ineficácia da arrematação ou resultado negativo do leilão.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Em caso de remição ou adjudicação</w:t>
      </w:r>
      <w:r>
        <w:rPr>
          <w:rFonts w:cs="Times New Roman" w:ascii="Times New Roman" w:hAnsi="Times New Roman"/>
        </w:rPr>
        <w:t>, o leiloeiro será remunerado pelo remetente ou adjudicante, com pagamento devido no ato da remição ou antes da assinatura da carta de adjudicação.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acordo ou remição após o leilão</w:t>
      </w:r>
      <w:r>
        <w:rPr>
          <w:rFonts w:cs="Times New Roman" w:ascii="Times New Roman" w:hAnsi="Times New Roman"/>
        </w:rPr>
        <w:t>, o leiloeiro fará jus à comissão, conforme o art. 246, §1º do Provimento Geral Consolidado/TRT-3ª Região.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Registre-se que a apresentação de proposta de parcelamento por escrito não suspenderá a realização do leilão e será apreciada, oportunamente, pelo Juízo.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 proposta de parcelamento SOMENTE PARA BENS IMÓVEIS, deverá conter, em qualquer hipótese, oferta de pagamento de pelo menos 25% do valor do lance à vista e o restante em até 12</w:t>
      </w:r>
      <w:r>
        <w:rPr>
          <w:rFonts w:cs="Times New Roman" w:ascii="Times New Roman" w:hAnsi="Times New Roman"/>
          <w:b/>
          <w:bCs/>
        </w:rPr>
        <w:t xml:space="preserve"> (doze) meses</w:t>
      </w:r>
      <w:r>
        <w:rPr>
          <w:rFonts w:cs="Times New Roman" w:ascii="Times New Roman" w:hAnsi="Times New Roman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Cancelamento do leilão</w:t>
      </w:r>
      <w:r>
        <w:rPr>
          <w:rFonts w:cs="Times New Roman" w:ascii="Times New Roman" w:hAnsi="Times New Roman"/>
        </w:rPr>
        <w:t xml:space="preserve">: Se o leilão for cancelado por motivo de acordo, após a publicação do edital e antes da realização do leilão, serão arbitrados </w:t>
      </w:r>
      <w:r>
        <w:rPr>
          <w:rFonts w:cs="Times New Roman" w:ascii="Times New Roman" w:hAnsi="Times New Roman"/>
          <w:b/>
          <w:bCs/>
        </w:rPr>
        <w:t>honorários de 2%</w:t>
      </w:r>
      <w:r>
        <w:rPr>
          <w:rFonts w:cs="Times New Roman" w:ascii="Times New Roman" w:hAnsi="Times New Roman"/>
        </w:rPr>
        <w:t xml:space="preserve"> sobre o valor da avaliação do bem, a ser custeado pelo Executado, como ressarcimento pelas despesas e serviços prestados.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arrematante não poderá alegar desconhecimento das condições do leilão ou das características do bem, sendo de sua responsabilidade verificar </w:t>
      </w:r>
      <w:r>
        <w:rPr>
          <w:rFonts w:cs="Times New Roman" w:ascii="Times New Roman" w:hAnsi="Times New Roman"/>
          <w:b/>
          <w:bCs/>
        </w:rPr>
        <w:t>encargos sobre o bem</w:t>
      </w:r>
      <w:r>
        <w:rPr>
          <w:rFonts w:cs="Times New Roman" w:ascii="Times New Roman" w:hAnsi="Times New Roman"/>
        </w:rPr>
        <w:t>, mesmo que não expressos no edital.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O(s) bem(ns) será(ão) </w:t>
      </w:r>
      <w:r>
        <w:rPr>
          <w:rFonts w:cs="Times New Roman" w:ascii="Times New Roman" w:hAnsi="Times New Roman"/>
          <w:b/>
          <w:bCs/>
        </w:rPr>
        <w:t>vendido(s) no estado de conservação em que se encontra(m)</w:t>
      </w:r>
      <w:r>
        <w:rPr>
          <w:rFonts w:cs="Times New Roman" w:ascii="Times New Roman" w:hAnsi="Times New Roman"/>
        </w:rPr>
        <w:t>, sem garantia. É de responsabilidade do interessado verificar as condições do bem.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O valor total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deverá ser depositado pelo arrematante no prazo máximo de 24 HORAS </w:t>
      </w:r>
      <w:r>
        <w:rPr>
          <w:rFonts w:cs="Times New Roman" w:ascii="Times New Roman" w:hAnsi="Times New Roman"/>
          <w:b/>
          <w:bCs/>
        </w:rPr>
        <w:t>após o encerramento do leilão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houver </w:t>
      </w:r>
      <w:r>
        <w:rPr>
          <w:rFonts w:cs="Times New Roman" w:ascii="Times New Roman" w:hAnsi="Times New Roman"/>
          <w:b/>
          <w:bCs/>
        </w:rPr>
        <w:t>desistência da arrematação</w:t>
      </w:r>
      <w:r>
        <w:rPr>
          <w:rFonts w:cs="Times New Roman" w:ascii="Times New Roman" w:hAnsi="Times New Roman"/>
        </w:rPr>
        <w:t xml:space="preserve"> fora das hipóteses legais, o arrematante poderá ser </w:t>
      </w:r>
      <w:r>
        <w:rPr>
          <w:rFonts w:cs="Times New Roman" w:ascii="Times New Roman" w:hAnsi="Times New Roman"/>
          <w:b/>
          <w:bCs/>
        </w:rPr>
        <w:t>multado</w:t>
      </w:r>
      <w:r>
        <w:rPr>
          <w:rFonts w:cs="Times New Roman" w:ascii="Times New Roman" w:hAnsi="Times New Roman"/>
        </w:rPr>
        <w:t>, além de ter que pagar a comissão do leiloeiro.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comissão do leiloeiro </w:t>
      </w:r>
      <w:r>
        <w:rPr>
          <w:rFonts w:cs="Times New Roman" w:ascii="Times New Roman" w:hAnsi="Times New Roman"/>
          <w:b/>
          <w:bCs/>
        </w:rPr>
        <w:t>não será devolvida</w:t>
      </w:r>
      <w:r>
        <w:rPr>
          <w:rFonts w:cs="Times New Roman" w:ascii="Times New Roman" w:hAnsi="Times New Roman"/>
        </w:rPr>
        <w:t xml:space="preserve"> se a arrematação for anulada, invalidada ou considerada ineficaz por culpa do arrematante.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Se o valor da </w:t>
      </w:r>
      <w:r>
        <w:rPr>
          <w:rFonts w:cs="Times New Roman" w:ascii="Times New Roman" w:hAnsi="Times New Roman"/>
          <w:b/>
          <w:bCs/>
        </w:rPr>
        <w:t>arrematação</w:t>
      </w:r>
      <w:r>
        <w:rPr>
          <w:rFonts w:cs="Times New Roman" w:ascii="Times New Roman" w:hAnsi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Times New Roman" w:ascii="Times New Roman" w:hAnsi="Times New Roman"/>
          <w:b/>
          <w:bCs/>
        </w:rPr>
        <w:t>pena de detenção de dois meses a um ano</w:t>
      </w:r>
      <w:r>
        <w:rPr>
          <w:rFonts w:cs="Times New Roman" w:ascii="Times New Roman" w:hAnsi="Times New Roman"/>
        </w:rPr>
        <w:t>, ou multa, além da pena correspondente à violência.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intimadas as </w:t>
      </w:r>
      <w:r>
        <w:rPr>
          <w:rFonts w:cs="Times New Roman" w:ascii="Times New Roman" w:hAnsi="Times New Roman"/>
          <w:b/>
          <w:bCs/>
        </w:rPr>
        <w:t>partes, coproprietários, cônjuges, credores hipotecários, fiduciários e credores com penhoras averbadas</w:t>
      </w:r>
      <w:r>
        <w:rPr>
          <w:rFonts w:cs="Times New Roman" w:ascii="Times New Roman" w:hAnsi="Times New Roman"/>
        </w:rPr>
        <w:t>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Ficam intimados o(s) </w:t>
      </w:r>
      <w:r>
        <w:rPr>
          <w:rFonts w:cs="Times New Roman" w:ascii="Times New Roman" w:hAnsi="Times New Roman"/>
          <w:b/>
          <w:bCs/>
        </w:rPr>
        <w:t>devedor(es) e/ou depositário(s)</w:t>
      </w:r>
      <w:r>
        <w:rPr>
          <w:rFonts w:cs="Times New Roman" w:ascii="Times New Roman" w:hAnsi="Times New Roman"/>
        </w:rPr>
        <w:t xml:space="preserve"> não localizado(s).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A arrematação será considerada concluída somente após a </w:t>
      </w:r>
      <w:r>
        <w:rPr>
          <w:rFonts w:cs="Times New Roman" w:ascii="Times New Roman" w:hAnsi="Times New Roman"/>
          <w:b/>
          <w:bCs/>
        </w:rPr>
        <w:t>homologação pelo MM Juiz</w:t>
      </w:r>
      <w:r>
        <w:rPr>
          <w:rFonts w:cs="Times New Roman" w:ascii="Times New Roman" w:hAnsi="Times New Roman"/>
        </w:rPr>
        <w:t xml:space="preserve"> da vara competente.</w:t>
      </w:r>
    </w:p>
    <w:p>
      <w:pPr>
        <w:pStyle w:val="Normal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LEIA O EDITAL.</w:t>
      </w:r>
      <w:r>
        <w:rPr>
          <w:rFonts w:cs="Times New Roman" w:ascii="Times New Roman" w:hAnsi="Times New Roman"/>
        </w:rPr>
        <w:t xml:space="preserve"> Em caso de dúvida, o que estiver disposto no edital é o que prevalecerá.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before="0" w:after="1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">
    <w:charset w:val="00"/>
    <w:family w:val="swiss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05f07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0"/>
      </w:numPr>
      <w:spacing w:before="360" w:after="80"/>
      <w:outlineLvl w:val="0"/>
    </w:pPr>
    <w:rPr>
      <w:rFonts w:ascii="Calibri Light" w:hAnsi="Calibri Light" w:eastAsia="Calibri" w:cs="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keepLines/>
      <w:numPr>
        <w:ilvl w:val="0"/>
        <w:numId w:val="0"/>
      </w:numPr>
      <w:spacing w:before="160" w:after="80"/>
      <w:outlineLvl w:val="1"/>
    </w:pPr>
    <w:rPr>
      <w:rFonts w:ascii="Calibri Light" w:hAnsi="Calibri Light" w:eastAsia="Calibri" w:cs=""/>
      <w:color w:themeColor="accent1" w:themeShade="bf" w:val="2F5496"/>
      <w:sz w:val="32"/>
      <w:szCs w:val="32"/>
    </w:rPr>
  </w:style>
  <w:style w:type="paragraph" w:styleId="Heading3">
    <w:name w:val="heading 3"/>
    <w:basedOn w:val="Normal"/>
    <w:link w:val="Ttulo3Char"/>
    <w:uiPriority w:val="9"/>
    <w:qFormat/>
    <w:rsid w:val="00d05f07"/>
    <w:pPr>
      <w:suppressAutoHyphens w:val="false"/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Heading4">
    <w:name w:val="heading 4"/>
    <w:basedOn w:val="Normal"/>
    <w:next w:val="Normal"/>
    <w:qFormat/>
    <w:pPr>
      <w:keepNext w:val="true"/>
      <w:keepLines/>
      <w:numPr>
        <w:ilvl w:val="0"/>
        <w:numId w:val="0"/>
      </w:numPr>
      <w:spacing w:before="80" w:after="40"/>
      <w:outlineLvl w:val="3"/>
    </w:pPr>
    <w:rPr>
      <w:rFonts w:eastAsia="Calibri" w:cs="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qFormat/>
    <w:pPr>
      <w:keepNext w:val="true"/>
      <w:keepLines/>
      <w:numPr>
        <w:ilvl w:val="0"/>
        <w:numId w:val="0"/>
      </w:numPr>
      <w:spacing w:before="80" w:after="40"/>
      <w:outlineLvl w:val="4"/>
    </w:pPr>
    <w:rPr>
      <w:rFonts w:eastAsia="Calibri" w:cs=""/>
      <w:color w:themeColor="accent1" w:themeShade="bf" w:val="2F5496"/>
    </w:rPr>
  </w:style>
  <w:style w:type="paragraph" w:styleId="Heading6">
    <w:name w:val="heading 6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outlineLvl w:val="5"/>
    </w:pPr>
    <w:rPr>
      <w:rFonts w:eastAsia="Calibri" w:cs=""/>
      <w:i/>
      <w:iCs/>
      <w:color w:themeColor="dark1" w:themeTint="a6" w:val="595959"/>
    </w:rPr>
  </w:style>
  <w:style w:type="paragraph" w:styleId="Heading7">
    <w:name w:val="heading 7"/>
    <w:basedOn w:val="Normal"/>
    <w:next w:val="Normal"/>
    <w:qFormat/>
    <w:pPr>
      <w:keepNext w:val="true"/>
      <w:keepLines/>
      <w:numPr>
        <w:ilvl w:val="0"/>
        <w:numId w:val="0"/>
      </w:numPr>
      <w:spacing w:before="40" w:after="0"/>
      <w:outlineLvl w:val="6"/>
    </w:pPr>
    <w:rPr>
      <w:rFonts w:eastAsia="Calibri" w:cs=""/>
      <w:color w:themeColor="dark1" w:themeTint="a6" w:val="595959"/>
    </w:rPr>
  </w:style>
  <w:style w:type="paragraph" w:styleId="Heading8">
    <w:name w:val="heading 8"/>
    <w:basedOn w:val="Normal"/>
    <w:next w:val="Normal"/>
    <w:qFormat/>
    <w:pPr>
      <w:keepNext w:val="true"/>
      <w:keepLines/>
      <w:numPr>
        <w:ilvl w:val="0"/>
        <w:numId w:val="0"/>
      </w:numPr>
      <w:spacing w:before="0" w:after="0"/>
      <w:outlineLvl w:val="7"/>
    </w:pPr>
    <w:rPr>
      <w:rFonts w:eastAsia="Calibri" w:cs=""/>
      <w:i/>
      <w:iCs/>
      <w:color w:themeColor="dark1" w:themeTint="d8" w:val="272727"/>
    </w:rPr>
  </w:style>
  <w:style w:type="paragraph" w:styleId="Heading9">
    <w:name w:val="heading 9"/>
    <w:basedOn w:val="Normal"/>
    <w:next w:val="Normal"/>
    <w:qFormat/>
    <w:pPr>
      <w:keepNext w:val="true"/>
      <w:keepLines/>
      <w:numPr>
        <w:ilvl w:val="0"/>
        <w:numId w:val="0"/>
      </w:numPr>
      <w:spacing w:before="0" w:after="0"/>
      <w:outlineLvl w:val="8"/>
    </w:pPr>
    <w:rPr>
      <w:rFonts w:eastAsia="Calibri" w:cs=""/>
      <w:color w:themeColor="dark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d05f07"/>
    <w:rPr>
      <w:color w:themeColor="hyperlink" w:val="0563C1"/>
      <w:u w:val="single"/>
    </w:rPr>
  </w:style>
  <w:style w:type="character" w:styleId="Strong">
    <w:name w:val="Strong"/>
    <w:basedOn w:val="DefaultParagraphFont"/>
    <w:uiPriority w:val="22"/>
    <w:qFormat/>
    <w:rsid w:val="00d05f07"/>
    <w:rPr>
      <w:b/>
      <w:bCs/>
    </w:rPr>
  </w:style>
  <w:style w:type="character" w:styleId="Ttulo3Char" w:customStyle="1">
    <w:name w:val="Título 3 Char"/>
    <w:basedOn w:val="DefaultParagraphFont"/>
    <w:uiPriority w:val="9"/>
    <w:qFormat/>
    <w:rsid w:val="00d05f07"/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character" w:styleId="IntenseReference">
    <w:name w:val="Intense Reference"/>
    <w:basedOn w:val="DefaultParagraphFont"/>
    <w:qFormat/>
    <w:rPr>
      <w:b/>
      <w:bCs/>
      <w:smallCaps/>
      <w:color w:themeColor="accent1" w:themeShade="bf" w:val="2F5496"/>
      <w:spacing w:val="5"/>
    </w:rPr>
  </w:style>
  <w:style w:type="character" w:styleId="CitaoIntensaChar">
    <w:name w:val="Citação Intensa Char"/>
    <w:basedOn w:val="DefaultParagraphFont"/>
    <w:qFormat/>
    <w:rPr>
      <w:i/>
      <w:iCs/>
      <w:color w:themeColor="accent1" w:themeShade="bf" w:val="2F5496"/>
    </w:rPr>
  </w:style>
  <w:style w:type="character" w:styleId="IntenseEmphasis">
    <w:name w:val="Intense Emphasis"/>
    <w:basedOn w:val="DefaultParagraphFont"/>
    <w:qFormat/>
    <w:rPr>
      <w:i/>
      <w:iCs/>
      <w:color w:themeColor="accent1" w:themeShade="bf" w:val="2F5496"/>
    </w:rPr>
  </w:style>
  <w:style w:type="character" w:styleId="CitaoChar">
    <w:name w:val="Citação Char"/>
    <w:basedOn w:val="DefaultParagraphFont"/>
    <w:qFormat/>
    <w:rPr>
      <w:i/>
      <w:iCs/>
      <w:color w:themeColor="dark1" w:themeTint="bf" w:val="404040"/>
    </w:rPr>
  </w:style>
  <w:style w:type="character" w:styleId="SubttuloChar">
    <w:name w:val="Subtítulo Char"/>
    <w:basedOn w:val="DefaultParagraphFont"/>
    <w:qFormat/>
    <w:rPr>
      <w:rFonts w:eastAsia="Calibri" w:cs=""/>
      <w:color w:themeColor="dark1" w:themeTint="a6" w:val="595959"/>
      <w:spacing w:val="15"/>
      <w:sz w:val="28"/>
      <w:szCs w:val="28"/>
    </w:rPr>
  </w:style>
  <w:style w:type="character" w:styleId="TtuloChar">
    <w:name w:val="Título Char"/>
    <w:basedOn w:val="DefaultParagraphFont"/>
    <w:qFormat/>
    <w:rPr>
      <w:rFonts w:ascii="Calibri Light" w:hAnsi="Calibri Light" w:eastAsia="Calibri" w:cs=""/>
      <w:spacing w:val="-10"/>
      <w:kern w:val="2"/>
      <w:sz w:val="56"/>
      <w:szCs w:val="56"/>
    </w:rPr>
  </w:style>
  <w:style w:type="character" w:styleId="Ttulo9Char">
    <w:name w:val="Título 9 Char"/>
    <w:basedOn w:val="DefaultParagraphFont"/>
    <w:qFormat/>
    <w:rPr>
      <w:rFonts w:eastAsia="Calibri" w:cs=""/>
      <w:color w:themeColor="dark1" w:themeTint="d8" w:val="272727"/>
    </w:rPr>
  </w:style>
  <w:style w:type="character" w:styleId="Ttulo8Char">
    <w:name w:val="Título 8 Char"/>
    <w:basedOn w:val="DefaultParagraphFont"/>
    <w:qFormat/>
    <w:rPr>
      <w:rFonts w:eastAsia="Calibri" w:cs=""/>
      <w:i/>
      <w:iCs/>
      <w:color w:themeColor="dark1" w:themeTint="d8" w:val="272727"/>
    </w:rPr>
  </w:style>
  <w:style w:type="character" w:styleId="Ttulo7Char">
    <w:name w:val="Título 7 Char"/>
    <w:basedOn w:val="DefaultParagraphFont"/>
    <w:qFormat/>
    <w:rPr>
      <w:rFonts w:eastAsia="Calibri" w:cs=""/>
      <w:color w:themeColor="dark1" w:themeTint="a6" w:val="595959"/>
    </w:rPr>
  </w:style>
  <w:style w:type="character" w:styleId="Ttulo6Char">
    <w:name w:val="Título 6 Char"/>
    <w:basedOn w:val="DefaultParagraphFont"/>
    <w:qFormat/>
    <w:rPr>
      <w:rFonts w:eastAsia="Calibri" w:cs=""/>
      <w:i/>
      <w:iCs/>
      <w:color w:themeColor="dark1" w:themeTint="a6" w:val="595959"/>
    </w:rPr>
  </w:style>
  <w:style w:type="character" w:styleId="Ttulo5Char">
    <w:name w:val="Título 5 Char"/>
    <w:basedOn w:val="DefaultParagraphFont"/>
    <w:qFormat/>
    <w:rPr>
      <w:rFonts w:eastAsia="Calibri" w:cs=""/>
      <w:color w:themeColor="accent1" w:themeShade="bf" w:val="2F5496"/>
    </w:rPr>
  </w:style>
  <w:style w:type="character" w:styleId="Ttulo4Char">
    <w:name w:val="Título 4 Char"/>
    <w:basedOn w:val="DefaultParagraphFont"/>
    <w:qFormat/>
    <w:rPr>
      <w:rFonts w:eastAsia="Calibri" w:cs=""/>
      <w:i/>
      <w:iCs/>
      <w:color w:themeColor="accent1" w:themeShade="bf" w:val="2F5496"/>
    </w:rPr>
  </w:style>
  <w:style w:type="character" w:styleId="Ttulo2Char">
    <w:name w:val="Título 2 Char"/>
    <w:basedOn w:val="DefaultParagraphFont"/>
    <w:qFormat/>
    <w:rPr>
      <w:rFonts w:ascii="Calibri Light" w:hAnsi="Calibri Light" w:eastAsia="Calibri" w:cs=""/>
      <w:color w:themeColor="accent1" w:themeShade="bf" w:val="2F5496"/>
      <w:sz w:val="32"/>
      <w:szCs w:val="32"/>
    </w:rPr>
  </w:style>
  <w:style w:type="character" w:styleId="Ttulo1Char">
    <w:name w:val="Título 1 Char"/>
    <w:basedOn w:val="DefaultParagraphFont"/>
    <w:qFormat/>
    <w:rPr>
      <w:rFonts w:ascii="Calibri Light" w:hAnsi="Calibri Light" w:eastAsia="Calibri" w:cs=""/>
      <w:color w:themeColor="accent1" w:themeShade="bf" w:val="2F5496"/>
      <w:sz w:val="40"/>
      <w:szCs w:val="4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d05f07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d05f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IntenseQuote">
    <w:name w:val="Intense Quote"/>
    <w:basedOn w:val="Normal"/>
    <w:next w:val="Normal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Quote">
    <w:name w:val="Quote"/>
    <w:basedOn w:val="Normal"/>
    <w:next w:val="Normal"/>
    <w:qFormat/>
    <w:pPr>
      <w:spacing w:before="160" w:after="160"/>
      <w:jc w:val="center"/>
    </w:pPr>
    <w:rPr>
      <w:i/>
      <w:iCs/>
      <w:color w:themeColor="dark1" w:themeTint="bf" w:val="404040"/>
    </w:rPr>
  </w:style>
  <w:style w:type="paragraph" w:styleId="Subtitle">
    <w:name w:val="Subtitle"/>
    <w:basedOn w:val="Normal"/>
    <w:next w:val="Normal"/>
    <w:qFormat/>
    <w:pPr/>
    <w:rPr>
      <w:rFonts w:eastAsia="Calibri" w:cs=""/>
      <w:color w:themeColor="dark1" w:themeTint="a6" w:val="595959"/>
      <w:spacing w:val="15"/>
      <w:sz w:val="28"/>
      <w:szCs w:val="28"/>
    </w:rPr>
  </w:style>
  <w:style w:type="paragraph" w:styleId="Title">
    <w:name w:val="Title"/>
    <w:basedOn w:val="Normal"/>
    <w:next w:val="Normal"/>
    <w:qFormat/>
    <w:pPr>
      <w:spacing w:lineRule="auto" w:line="240" w:before="0" w:after="80"/>
      <w:contextualSpacing/>
    </w:pPr>
    <w:rPr>
      <w:rFonts w:ascii="Calibri Light" w:hAnsi="Calibri Light" w:eastAsia="Calibri" w:cs=""/>
      <w:spacing w:val="-10"/>
      <w:kern w:val="2"/>
      <w:sz w:val="56"/>
      <w:szCs w:val="56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varabh41@trt3.jus.br" TargetMode="External"/><Relationship Id="rId3" Type="http://schemas.openxmlformats.org/officeDocument/2006/relationships/hyperlink" Target="http://www.arnaldoleiloes.com.br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LibreOffice/25.2.6.2$Windows_X86_64 LibreOffice_project/729c5bfe710f5eb71ed3bbde9e06a6065e9c6c5d</Application>
  <AppVersion>15.0000</AppVersion>
  <Pages>3</Pages>
  <Words>968</Words>
  <Characters>5307</Characters>
  <CharactersWithSpaces>6218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2025-11-17T16:27:00Z</dcterms:created>
  <dc:creator>Dep_pessoal8</dc:creator>
  <dc:description/>
  <dc:language>pt-BR</dc:language>
  <cp:lastModifiedBy/>
  <cp:lastPrinted>2025-11-17T14:31:40Z</cp:lastPrinted>
  <dcterms:modified xsi:type="dcterms:W3CDTF">2025-11-17T14:31:48Z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