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EDITAL DE LEILÃO</w:t>
      </w:r>
    </w:p>
    <w:p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NÚCLEO DE APOIO ÀS EXECUÇÕES </w:t>
      </w:r>
    </w:p>
    <w:p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Rua Paracatu, n° 304, Barro Preto, Belo Horizonte/MG. </w:t>
      </w:r>
    </w:p>
    <w:p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br/>
      </w:r>
      <w:r>
        <w:rPr>
          <w:rStyle w:val="Strong"/>
          <w:rFonts w:cs="Times New Roman" w:ascii="Times New Roman" w:hAnsi="Times New Roman"/>
          <w:sz w:val="24"/>
          <w:szCs w:val="24"/>
        </w:rPr>
        <w:t>PROCESSO:  0012031-51.2014.5.03.0164</w:t>
      </w:r>
      <w:r>
        <w:rPr>
          <w:rFonts w:cs="Times New Roman" w:ascii="Times New Roman" w:hAnsi="Times New Roman"/>
          <w:sz w:val="24"/>
          <w:szCs w:val="24"/>
        </w:rPr>
        <w:t xml:space="preserve"> </w:t>
        <w:br/>
      </w:r>
      <w:r>
        <w:rPr>
          <w:rFonts w:cs="Times New Roman" w:ascii="Times New Roman" w:hAnsi="Times New Roman"/>
          <w:b/>
          <w:sz w:val="24"/>
          <w:szCs w:val="24"/>
        </w:rPr>
        <w:t xml:space="preserve">AUTOR: CLAUDIO EUSTAQUIO ARAUJO </w:t>
        <w:br/>
        <w:t>RÉU: POHLIG-HECKEL DO BRASIL SERVICOS E ENGRENAGENS LTDA E OUTROS (8)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DATAS E LOCAIS DO LEILÃO</w:t>
      </w:r>
    </w:p>
    <w:p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numPr>
          <w:ilvl w:val="0"/>
          <w:numId w:val="1"/>
        </w:numPr>
        <w:ind w:hanging="720" w:left="72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1º Leilão Virtual e Presencial</w:t>
      </w:r>
      <w:r>
        <w:rPr>
          <w:rFonts w:cs="Times New Roman" w:ascii="Times New Roman" w:hAnsi="Times New Roman"/>
          <w:sz w:val="24"/>
          <w:szCs w:val="24"/>
        </w:rPr>
        <w:br/>
        <w:t xml:space="preserve">Data e Hora: </w:t>
      </w:r>
      <w:r>
        <w:rPr>
          <w:rFonts w:cs="Times New Roman" w:ascii="Times New Roman" w:hAnsi="Times New Roman"/>
          <w:b/>
          <w:bCs/>
          <w:sz w:val="24"/>
          <w:szCs w:val="24"/>
        </w:rPr>
        <w:t>11/03/2026</w:t>
      </w:r>
      <w:r>
        <w:rPr>
          <w:rFonts w:cs="Times New Roman" w:ascii="Times New Roman" w:hAnsi="Times New Roman"/>
          <w:sz w:val="24"/>
          <w:szCs w:val="24"/>
        </w:rPr>
        <w:t xml:space="preserve">, às </w:t>
      </w:r>
      <w:r>
        <w:rPr>
          <w:rFonts w:cs="Times New Roman" w:ascii="Times New Roman" w:hAnsi="Times New Roman"/>
          <w:b/>
          <w:bCs/>
          <w:sz w:val="24"/>
          <w:szCs w:val="24"/>
        </w:rPr>
        <w:t>14:00</w:t>
      </w:r>
      <w:r>
        <w:rPr>
          <w:rFonts w:cs="Times New Roman" w:ascii="Times New Roman" w:hAnsi="Times New Roman"/>
          <w:sz w:val="24"/>
          <w:szCs w:val="24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1"/>
        </w:numPr>
        <w:pBdr>
          <w:bottom w:val="single" w:sz="4" w:space="1" w:color="000000"/>
        </w:pBdr>
        <w:ind w:hanging="720" w:left="72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2º Leilão Virtual e Presencial</w:t>
      </w:r>
      <w:r>
        <w:rPr>
          <w:rFonts w:cs="Times New Roman" w:ascii="Times New Roman" w:hAnsi="Times New Roman"/>
          <w:sz w:val="24"/>
          <w:szCs w:val="24"/>
        </w:rPr>
        <w:br/>
        <w:t xml:space="preserve">Data e Hora: </w:t>
      </w:r>
      <w:r>
        <w:rPr>
          <w:rFonts w:cs="Times New Roman" w:ascii="Times New Roman" w:hAnsi="Times New Roman"/>
          <w:b/>
          <w:bCs/>
          <w:sz w:val="24"/>
          <w:szCs w:val="24"/>
        </w:rPr>
        <w:t>11/03/2026</w:t>
      </w:r>
      <w:r>
        <w:rPr>
          <w:rFonts w:cs="Times New Roman" w:ascii="Times New Roman" w:hAnsi="Times New Roman"/>
          <w:sz w:val="24"/>
          <w:szCs w:val="24"/>
        </w:rPr>
        <w:t xml:space="preserve">, às </w:t>
      </w:r>
      <w:r>
        <w:rPr>
          <w:rFonts w:cs="Times New Roman" w:ascii="Times New Roman" w:hAnsi="Times New Roman"/>
          <w:b/>
          <w:bCs/>
          <w:sz w:val="24"/>
          <w:szCs w:val="24"/>
        </w:rPr>
        <w:t>14:15</w:t>
      </w:r>
      <w:r>
        <w:rPr>
          <w:rFonts w:cs="Times New Roman" w:ascii="Times New Roman" w:hAnsi="Times New Roman"/>
          <w:sz w:val="24"/>
          <w:szCs w:val="24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pBdr>
          <w:bottom w:val="single" w:sz="4" w:space="1" w:color="000000"/>
        </w:pBdr>
        <w:jc w:val="both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FF0000"/>
          <w:sz w:val="24"/>
          <w:szCs w:val="24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>
      <w:pPr>
        <w:pStyle w:val="NormalWeb"/>
        <w:spacing w:before="280" w:after="280"/>
        <w:jc w:val="both"/>
        <w:rPr>
          <w:rStyle w:val="Strong"/>
          <w:rFonts w:eastAsia="" w:eastAsiaTheme="majorEastAsia"/>
        </w:rPr>
      </w:pPr>
      <w:r>
        <w:rPr>
          <w:rStyle w:val="Strong"/>
          <w:rFonts w:eastAsia="" w:eastAsiaTheme="majorEastAsia"/>
        </w:rPr>
        <w:t>DESCRIÇÃO DOS BENS: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Imóvel constituído por um terreno na Cidade Industrial de Contagem, com área de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1.412,10 m²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correspondente à faixa de domínio da antiga Rua nº 22 no trecho que ora se incorpora aos quarteirões de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64 e 68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da propriedade da outorgada, com os seguintes limites e confrontações: de um lado com aproximadamente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208 metros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limitando com terreno de propriedade da outorgada compradora; de outro com aproximadamente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05 metros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limitando com terreno aforado 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JAF Duarte &amp; Cia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; de outro com aproximadamente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07 metros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limitando com 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Rua 20 (atual Rua Dr. Antonio de Carvalho Lage)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e finalmente numa extensão de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208 metros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limitando com a faixa de domínio do ramal ferroviário existente, sendo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164,30 metros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paralelos 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07 metros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do alinhamento dos quarteirões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64 e 68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com 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Rua 22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43,70 metros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paralelos 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06 metros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daquele mesmo alinhamento, tudo como consta da planta respectiva, imóvel matriculado no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Cartório de Registro de Imóveis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Matrícula nº 70.999, Livro 02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Normal"/>
        <w:suppressAutoHyphens w:val="false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Mais um imóvel constituído pelos quarteirões de nº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64 e 68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e pelo trecho da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Rua Dezenove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anteriormente projetado entre os referidos quarteirões, na Cidade Industrial, terreno este com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área total aproximada de 27.908 m²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ficando compreendido entre as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Ruas Dezessete e Vinte e Dois e Avenida VIII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tudo como consta da planta respectiva, imóvel matriculado no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Cartório de Registro de Imóveis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Matrícula nº 70.998, Livro 02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Normal"/>
        <w:suppressAutoHyphens w:val="false"/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/>
        <mc:AlternateContent>
          <mc:Choice Requires="wps">
            <w:drawing>
              <wp:inline distT="0" distB="0" distL="0" distR="0">
                <wp:extent cx="5400040" cy="1905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"/>
                        <wps:cNvSpPr/>
                      </wps:nvSpPr>
                      <wps:spPr>
                        <a:xfrm>
                          <a:off x="0" y="0"/>
                          <a:ext cx="540000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o:allowincell="f" style="position:absolute;margin-left:0pt;margin-top:-1.55pt;width:425.15pt;height:1.45pt;mso-wrap-style:none;v-text-anchor:middle;mso-position-horizontal:center;mso-position-vertical:top">
                <v:fill o:detectmouseclick="t" type="solid" color2="#5f5f5f"/>
                <v:stroke color="#3465a4" joinstyle="round" endcap="flat"/>
                <w10:wrap type="topAndBottom"/>
              </v:rect>
            </w:pict>
          </mc:Fallback>
        </mc:AlternateContent>
      </w:r>
    </w:p>
    <w:p>
      <w:pPr>
        <w:pStyle w:val="NormalWeb"/>
        <w:spacing w:before="280" w:after="280"/>
        <w:jc w:val="both"/>
        <w:rPr>
          <w:rStyle w:val="Strong"/>
        </w:rPr>
      </w:pPr>
      <w:r>
        <w:rPr>
          <w:rStyle w:val="Strong"/>
        </w:rPr>
        <w:t>VALOR TOTAL DA AVALIAÇÃO: R$ 74.313.984,64 (Setenta e quatro milhões, trezentos e treze mil, novecentos e oitenta e quatro reais e sessenta e quatro centavos).</w:t>
      </w:r>
    </w:p>
    <w:p>
      <w:pPr>
        <w:pStyle w:val="NormalWeb"/>
        <w:spacing w:before="280" w:after="280"/>
        <w:jc w:val="both"/>
        <w:rPr>
          <w:rStyle w:val="Strong"/>
        </w:rPr>
      </w:pPr>
      <w:r>
        <w:rPr>
          <w:rStyle w:val="Strong"/>
        </w:rPr>
        <w:t xml:space="preserve">ENDEREÇO: Rua Dr Antônio de Carvalho Lage, n° 170, Bairro Industrial, Contagem/MG. </w:t>
      </w:r>
    </w:p>
    <w:p>
      <w:pPr>
        <w:pStyle w:val="NormalWeb"/>
        <w:spacing w:before="280" w:after="280"/>
        <w:jc w:val="both"/>
        <w:rPr/>
      </w:pPr>
      <w:r>
        <w:rPr>
          <w:b/>
        </w:rPr>
        <w:t>OBSERVAÇÕES SOBRE OS IMOVEIS:</w:t>
      </w:r>
      <w:r>
        <w:rPr/>
        <w:t xml:space="preserve"> conforme Auto de penhora, os imóveis fazem parte de um mesmo bloco, com as benfeitorias neles existentes, quais sejam: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a) Terreno cercado por muro de alvenaria com aproximadamente 2,50m de altura.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b) Prédio com quatro pavimentos (denominado "social") com estrutura em concreto armado, paredes em alvenaria, lajes maciças, acabamento variado segundo o padrão regular, dois andares reformados e pintados recentemente e outros dois em péssimo estado de conservação.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c) Galpão de estrutura de concreto armado com cobertura metálica, tipo shed, com chapas de aço zincadas e iluminação por telhas de vidro.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d) Estrutura de concreto com laje maciça anexa ao galpão.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g) galpão em concreto armado com cobertura em estrutura metálica.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h) galpão anexo em concreto armado, com cobertura em estrutura metálica.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i) Estruturas metálicas leve — galpão em concreto armado com cobertura em estrutura metálica e chapas de aço zincadas.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j) prédio em péssimo estado de conservação, com quatro pavimentos e acabamento variado, seguindo o padrão regular, em péssimo estado.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|) prédio em mau estado de conservação de um pavimento com salas e janelas de vidro.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>m) galpão de estrutura de concreto armado com cobertura metálica, com áreas destelhadas.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  <w:lang w:eastAsia="pt-BR"/>
        </w:rPr>
        <w:t xml:space="preserve">n) Imóvel este com prédios com cerca de 50 anos de uso, galpões com mais de 40 anos de uso, alguns destes bastante depreciados e abandonados, com saída de veículos/caminhões pela frente do imóvel, lado esquerdo do imóvel margeando com o Ribeirão Arrudas, fundos do imóvel com saída por sobre uma linha férrea. </w:t>
      </w:r>
    </w:p>
    <w:p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eastAsia="pt-BR"/>
        </w:rPr>
      </w:pPr>
      <w:r>
        <w:rPr>
          <w:rFonts w:cs="Times New Roman" w:ascii="Times New Roman" w:hAnsi="Times New Roman"/>
          <w:b/>
          <w:sz w:val="24"/>
          <w:szCs w:val="24"/>
          <w:lang w:eastAsia="pt-BR"/>
        </w:rPr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  <w:lang w:eastAsia="pt-BR"/>
        </w:rPr>
        <w:t>SOMENTE SERÁ ACEITO LANCES SOBRE AS DUAS MATRÍCULAS:</w:t>
      </w:r>
      <w:r>
        <w:rPr>
          <w:rFonts w:cs="Times New Roman" w:ascii="Times New Roman" w:hAnsi="Times New Roman"/>
          <w:sz w:val="24"/>
          <w:szCs w:val="24"/>
          <w:lang w:eastAsia="pt-BR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Só será aceito lance sobre a totalidade das matrículas componentes, independente da divisibilidade ou não do imóvel.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INFORMAÇÕES ADICIONAIS:</w:t>
      </w:r>
      <w:r>
        <w:rPr>
          <w:rFonts w:cs="Times New Roman" w:ascii="Times New Roman" w:hAnsi="Times New Roman"/>
          <w:sz w:val="24"/>
          <w:szCs w:val="24"/>
        </w:rPr>
        <w:t xml:space="preserve"> Sobre o terreno foram edificados prédios de escritórios e galpões industriais, perfazendo uma área total construída de 21.275,30m², segundo espelho cadastral da Prefeitura Municipal de Contagem - MG, índice cadastral 10090619010. 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 imóvel está alugado para a empresa Golden Lances Leilões, à qual foi dada ciência da penhora, na pessoa da Dra. Juliana Gripp, Advogada, por Whatsapp (31)99195-0700. </w:t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A Sra.Margareth Tymburita Sade, inventariante nomeada no processo nº5089067-83.2017.8.13.0024, foi dada ciência da penhora e nomeada como depositária dos bens (v.id.</w:t>
      </w:r>
      <w:hyperlink r:id="rId2">
        <w:r>
          <w:rPr>
            <w:rStyle w:val="Hyperlink"/>
            <w:rFonts w:cs="Times New Roman" w:ascii="Times New Roman" w:hAnsi="Times New Roman"/>
            <w:sz w:val="24"/>
            <w:szCs w:val="24"/>
          </w:rPr>
          <w:t>f4835ca</w:t>
        </w:r>
      </w:hyperlink>
      <w:r>
        <w:rPr>
          <w:rFonts w:cs="Times New Roman" w:ascii="Times New Roman" w:hAnsi="Times New Roman"/>
          <w:sz w:val="24"/>
          <w:szCs w:val="24"/>
        </w:rPr>
        <w:t>). Penhora registrada perante o CRI de Contagem, conforme Ofício de id.</w:t>
      </w:r>
      <w:hyperlink r:id="rId3">
        <w:r>
          <w:rPr>
            <w:rStyle w:val="Hyperlink"/>
            <w:rFonts w:cs="Times New Roman" w:ascii="Times New Roman" w:hAnsi="Times New Roman"/>
            <w:sz w:val="24"/>
            <w:szCs w:val="24"/>
          </w:rPr>
          <w:t>d797180</w:t>
        </w:r>
      </w:hyperlink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Normal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OBSERVAÇÕES:</w:t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 leilão estará a cargo do leiloeiro oficial </w:t>
      </w:r>
      <w:r>
        <w:rPr>
          <w:rFonts w:cs="Times New Roman" w:ascii="Times New Roman" w:hAnsi="Times New Roman"/>
          <w:b/>
          <w:bCs/>
          <w:sz w:val="24"/>
          <w:szCs w:val="24"/>
        </w:rPr>
        <w:t>Arnaldo Emílio Colombarolli</w:t>
      </w:r>
      <w:r>
        <w:rPr>
          <w:rFonts w:cs="Times New Roman" w:ascii="Times New Roman" w:hAnsi="Times New Roman"/>
          <w:sz w:val="24"/>
          <w:szCs w:val="24"/>
        </w:rPr>
        <w:t>, matrícula Jucemg nº 813 (</w:t>
      </w:r>
      <w:hyperlink r:id="rId4" w:tgtFrame="_new">
        <w:r>
          <w:rPr>
            <w:rStyle w:val="Hyperlink"/>
            <w:rFonts w:cs="Times New Roman" w:ascii="Times New Roman" w:hAnsi="Times New Roman"/>
            <w:sz w:val="24"/>
            <w:szCs w:val="24"/>
          </w:rPr>
          <w:t>www.arnaldoleiloes.com.br</w:t>
        </w:r>
      </w:hyperlink>
      <w:r>
        <w:rPr>
          <w:rFonts w:cs="Times New Roman" w:ascii="Times New Roman" w:hAnsi="Times New Roman"/>
          <w:sz w:val="24"/>
          <w:szCs w:val="24"/>
        </w:rPr>
        <w:t>), a ser realizado no local, data e horário acima especificados.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 preço mínimo para alienação foi fixado pelo juízo competente. A primeira tentativa de hasta pública deverá ocorrer pelo </w:t>
      </w:r>
      <w:r>
        <w:rPr>
          <w:rStyle w:val="Strong"/>
          <w:rFonts w:cs="Times New Roman" w:ascii="Times New Roman" w:hAnsi="Times New Roman"/>
          <w:sz w:val="24"/>
          <w:szCs w:val="24"/>
        </w:rPr>
        <w:t>valor integral da avaliação</w:t>
      </w:r>
      <w:r>
        <w:rPr>
          <w:rFonts w:cs="Times New Roman" w:ascii="Times New Roman" w:hAnsi="Times New Roman"/>
          <w:sz w:val="24"/>
          <w:szCs w:val="24"/>
        </w:rPr>
        <w:t xml:space="preserve">, correspondente a </w:t>
      </w:r>
      <w:r>
        <w:rPr>
          <w:rStyle w:val="Strong"/>
          <w:rFonts w:cs="Times New Roman" w:ascii="Times New Roman" w:hAnsi="Times New Roman"/>
          <w:sz w:val="24"/>
          <w:szCs w:val="24"/>
        </w:rPr>
        <w:t>R$ 74.313.984,64</w:t>
      </w:r>
      <w:r>
        <w:rPr>
          <w:rFonts w:cs="Times New Roman" w:ascii="Times New Roman" w:hAnsi="Times New Roman"/>
          <w:sz w:val="24"/>
          <w:szCs w:val="24"/>
        </w:rPr>
        <w:t xml:space="preserve"> (setenta e quatro milhões, trezentos e treze mil, novecentos e oitenta e quatro reais e sessenta e quatro centavos). Caso não haja arrematantes, será realizada uma </w:t>
      </w:r>
      <w:r>
        <w:rPr>
          <w:rStyle w:val="Strong"/>
          <w:rFonts w:cs="Times New Roman" w:ascii="Times New Roman" w:hAnsi="Times New Roman"/>
          <w:sz w:val="24"/>
          <w:szCs w:val="24"/>
        </w:rPr>
        <w:t>segunda hasta</w:t>
      </w:r>
      <w:r>
        <w:rPr>
          <w:rFonts w:cs="Times New Roman" w:ascii="Times New Roman" w:hAnsi="Times New Roman"/>
          <w:sz w:val="24"/>
          <w:szCs w:val="24"/>
        </w:rPr>
        <w:t xml:space="preserve">, com intervalo mínimo de </w:t>
      </w:r>
      <w:r>
        <w:rPr>
          <w:rStyle w:val="Strong"/>
          <w:rFonts w:cs="Times New Roman" w:ascii="Times New Roman" w:hAnsi="Times New Roman"/>
          <w:sz w:val="24"/>
          <w:szCs w:val="24"/>
        </w:rPr>
        <w:t>15 minutos</w:t>
      </w:r>
      <w:r>
        <w:rPr>
          <w:rFonts w:cs="Times New Roman" w:ascii="Times New Roman" w:hAnsi="Times New Roman"/>
          <w:sz w:val="24"/>
          <w:szCs w:val="24"/>
        </w:rPr>
        <w:t xml:space="preserve">, na qual será admitida 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proposta em valor inferior ao da avaliação, </w:t>
      </w:r>
      <w:r>
        <w:rPr>
          <w:rFonts w:cs="Times New Roman" w:ascii="Times New Roman" w:hAnsi="Times New Roman"/>
          <w:b/>
          <w:bCs/>
          <w:sz w:val="24"/>
          <w:szCs w:val="24"/>
        </w:rPr>
        <w:t>desde que não seja o lance consideradi vil.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 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A comissão do leiloeiro será de 5</w:t>
      </w:r>
      <w:r>
        <w:rPr>
          <w:rFonts w:cs="Times New Roman" w:ascii="Times New Roman" w:hAnsi="Times New Roman"/>
          <w:b/>
          <w:bCs/>
          <w:sz w:val="24"/>
          <w:szCs w:val="24"/>
        </w:rPr>
        <w:t>%</w:t>
      </w:r>
      <w:r>
        <w:rPr>
          <w:rFonts w:cs="Times New Roman" w:ascii="Times New Roman" w:hAnsi="Times New Roman"/>
          <w:sz w:val="24"/>
          <w:szCs w:val="24"/>
        </w:rPr>
        <w:t xml:space="preserve"> sobre o valor da arrematação para bens imóveis, a ser paga pelo arrematante, remitente ou adjudicante.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Conforme PROVIMENTO Nº 4/GCGJT, DE 26 DE SETEMBRO DE 2023, em seu art. 122, O arrematante (quem compra o bem no leilão) estará isento de débitos tributários ligados àquele bem, desde que o fato gerador seja a propriedade, domínio útil ou posse (ex.: IPTU, ITR, taxas municipais, etc.), mesmo que tais débitos já estejam inscritos ou não em dívida ativa. 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Os interessados em participar do leilão devem apresentar </w:t>
      </w:r>
      <w:r>
        <w:rPr>
          <w:rFonts w:cs="Times New Roman" w:ascii="Times New Roman" w:hAnsi="Times New Roman"/>
          <w:b/>
          <w:bCs/>
          <w:sz w:val="24"/>
          <w:szCs w:val="24"/>
        </w:rPr>
        <w:t>documento de identificação</w:t>
      </w:r>
      <w:r>
        <w:rPr>
          <w:rFonts w:cs="Times New Roman" w:ascii="Times New Roman" w:hAnsi="Times New Roman"/>
          <w:sz w:val="24"/>
          <w:szCs w:val="24"/>
        </w:rPr>
        <w:t xml:space="preserve"> (cédula de identidade civil ou CNH, se pessoa física, ou contrato social e cédula de identidade ou CNH do representante legal, se pessoa jurídica).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Em caso de </w:t>
      </w:r>
      <w:r>
        <w:rPr>
          <w:rFonts w:cs="Times New Roman" w:ascii="Times New Roman" w:hAnsi="Times New Roman"/>
          <w:b/>
          <w:bCs/>
          <w:sz w:val="24"/>
          <w:szCs w:val="24"/>
        </w:rPr>
        <w:t>desfeita da arrematação</w:t>
      </w:r>
      <w:r>
        <w:rPr>
          <w:rFonts w:cs="Times New Roman" w:ascii="Times New Roman" w:hAnsi="Times New Roman"/>
          <w:sz w:val="24"/>
          <w:szCs w:val="24"/>
        </w:rPr>
        <w:t xml:space="preserve">, remição ou adjudicação, os valores depositados serão </w:t>
      </w:r>
      <w:r>
        <w:rPr>
          <w:rFonts w:cs="Times New Roman" w:ascii="Times New Roman" w:hAnsi="Times New Roman"/>
          <w:b/>
          <w:bCs/>
          <w:sz w:val="24"/>
          <w:szCs w:val="24"/>
        </w:rPr>
        <w:t>restituídos ao arrematante</w:t>
      </w:r>
      <w:r>
        <w:rPr>
          <w:rFonts w:cs="Times New Roman" w:ascii="Times New Roman" w:hAnsi="Times New Roman"/>
          <w:sz w:val="24"/>
          <w:szCs w:val="24"/>
        </w:rPr>
        <w:t>, inclusive a comissão do leiloeiro, se for o caso.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Não será devida </w:t>
      </w:r>
      <w:r>
        <w:rPr>
          <w:rFonts w:cs="Times New Roman" w:ascii="Times New Roman" w:hAnsi="Times New Roman"/>
          <w:b/>
          <w:bCs/>
          <w:sz w:val="24"/>
          <w:szCs w:val="24"/>
        </w:rPr>
        <w:t>comissão ao leiloeiro</w:t>
      </w:r>
      <w:r>
        <w:rPr>
          <w:rFonts w:cs="Times New Roman" w:ascii="Times New Roman" w:hAnsi="Times New Roman"/>
          <w:sz w:val="24"/>
          <w:szCs w:val="24"/>
        </w:rPr>
        <w:t xml:space="preserve"> na hipótese de desistência de que trata o art. 775/CPC anulação ou ineficácia da arrematação ou resultado negativo do leilão.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Em caso de remição ou adjudicação</w:t>
      </w:r>
      <w:r>
        <w:rPr>
          <w:rFonts w:cs="Times New Roman" w:ascii="Times New Roman" w:hAnsi="Times New Roman"/>
          <w:sz w:val="24"/>
          <w:szCs w:val="24"/>
        </w:rPr>
        <w:t>, o leiloeiro será remunerado pelo remetente ou adjudicante, com pagamento devido no ato da remição ou antes da assinatura da carta de adjudicação.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Nos casos de acordo ou pagamento da dívida após a venda do bem no ato do leilão, será imputado ônus ao Executado, conforme dispõe o art. 245 do Provimento Geral Consolidado do TRT3.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Registre-se que a apresentação de proposta de parcelamento por escrito não suspenderá a realização do leilão e será apreciada, oportunamente, pelo Juízo.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 arrematante não poderá alegar desconhecimento das condições do leilão ou das características do bem, sendo de sua responsabilidade verificar </w:t>
      </w:r>
      <w:r>
        <w:rPr>
          <w:rFonts w:cs="Times New Roman" w:ascii="Times New Roman" w:hAnsi="Times New Roman"/>
          <w:b/>
          <w:bCs/>
          <w:sz w:val="24"/>
          <w:szCs w:val="24"/>
        </w:rPr>
        <w:t>encargos sobre o bem</w:t>
      </w:r>
      <w:r>
        <w:rPr>
          <w:rFonts w:cs="Times New Roman" w:ascii="Times New Roman" w:hAnsi="Times New Roman"/>
          <w:sz w:val="24"/>
          <w:szCs w:val="24"/>
        </w:rPr>
        <w:t>, mesmo que não expressos no edital.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O(s) bem(ns) será(ão) </w:t>
      </w:r>
      <w:r>
        <w:rPr>
          <w:rFonts w:cs="Times New Roman" w:ascii="Times New Roman" w:hAnsi="Times New Roman"/>
          <w:b/>
          <w:bCs/>
          <w:sz w:val="24"/>
          <w:szCs w:val="24"/>
        </w:rPr>
        <w:t>vendido(s) no estado de conservação em que se encontra(m)</w:t>
      </w:r>
      <w:r>
        <w:rPr>
          <w:rFonts w:cs="Times New Roman" w:ascii="Times New Roman" w:hAnsi="Times New Roman"/>
          <w:sz w:val="24"/>
          <w:szCs w:val="24"/>
        </w:rPr>
        <w:t xml:space="preserve">, sem garantia. É de responsabilidade do interessado verificar as condições do bem, bem como os respectivos registros junto às serventias. 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O valor total da </w:t>
      </w:r>
      <w:r>
        <w:rPr>
          <w:rFonts w:cs="Times New Roman" w:ascii="Times New Roman" w:hAnsi="Times New Roman"/>
          <w:b/>
          <w:bCs/>
          <w:sz w:val="24"/>
          <w:szCs w:val="24"/>
        </w:rPr>
        <w:t>arrematação</w:t>
      </w:r>
      <w:r>
        <w:rPr>
          <w:rFonts w:cs="Times New Roman" w:ascii="Times New Roman" w:hAnsi="Times New Roman"/>
          <w:sz w:val="24"/>
          <w:szCs w:val="24"/>
        </w:rPr>
        <w:t xml:space="preserve"> deverá ser depositado pelo arrematante no prazo máximo de 24 HORAS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 após o encerramento do leilão, </w:t>
      </w:r>
      <w:r>
        <w:rPr>
          <w:rFonts w:cs="Times New Roman" w:ascii="Times New Roman" w:hAnsi="Times New Roman"/>
          <w:b/>
          <w:bCs/>
          <w:sz w:val="24"/>
          <w:szCs w:val="24"/>
        </w:rPr>
        <w:t>salvo em hipótese de parcelamento, a ser analisada posteriormente pelo juízo.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Se houver </w:t>
      </w:r>
      <w:r>
        <w:rPr>
          <w:rFonts w:cs="Times New Roman" w:ascii="Times New Roman" w:hAnsi="Times New Roman"/>
          <w:b/>
          <w:bCs/>
          <w:sz w:val="24"/>
          <w:szCs w:val="24"/>
        </w:rPr>
        <w:t>desistência da arrematação</w:t>
      </w:r>
      <w:r>
        <w:rPr>
          <w:rFonts w:cs="Times New Roman" w:ascii="Times New Roman" w:hAnsi="Times New Roman"/>
          <w:sz w:val="24"/>
          <w:szCs w:val="24"/>
        </w:rPr>
        <w:t xml:space="preserve"> fora das hipóteses legais, o arrematante poderá ser </w:t>
      </w:r>
      <w:r>
        <w:rPr>
          <w:rFonts w:cs="Times New Roman" w:ascii="Times New Roman" w:hAnsi="Times New Roman"/>
          <w:b/>
          <w:bCs/>
          <w:sz w:val="24"/>
          <w:szCs w:val="24"/>
        </w:rPr>
        <w:t>multado</w:t>
      </w:r>
      <w:r>
        <w:rPr>
          <w:rFonts w:cs="Times New Roman" w:ascii="Times New Roman" w:hAnsi="Times New Roman"/>
          <w:sz w:val="24"/>
          <w:szCs w:val="24"/>
        </w:rPr>
        <w:t>, além de ter que pagar a comissão do leiloeiro.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A comissão do leiloeiro </w:t>
      </w:r>
      <w:r>
        <w:rPr>
          <w:rFonts w:cs="Times New Roman" w:ascii="Times New Roman" w:hAnsi="Times New Roman"/>
          <w:b/>
          <w:bCs/>
          <w:sz w:val="24"/>
          <w:szCs w:val="24"/>
        </w:rPr>
        <w:t>não será devolvida</w:t>
      </w:r>
      <w:r>
        <w:rPr>
          <w:rFonts w:cs="Times New Roman" w:ascii="Times New Roman" w:hAnsi="Times New Roman"/>
          <w:sz w:val="24"/>
          <w:szCs w:val="24"/>
        </w:rPr>
        <w:t xml:space="preserve"> se a arrematação for anulada, invalidada ou considerada ineficaz por culpa do arrematante.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Se o valor da </w:t>
      </w:r>
      <w:r>
        <w:rPr>
          <w:rFonts w:cs="Times New Roman" w:ascii="Times New Roman" w:hAnsi="Times New Roman"/>
          <w:b/>
          <w:bCs/>
          <w:sz w:val="24"/>
          <w:szCs w:val="24"/>
        </w:rPr>
        <w:t>arrematação</w:t>
      </w:r>
      <w:r>
        <w:rPr>
          <w:rFonts w:cs="Times New Roman" w:ascii="Times New Roman" w:hAnsi="Times New Roman"/>
          <w:sz w:val="24"/>
          <w:szCs w:val="24"/>
        </w:rPr>
        <w:t xml:space="preserve"> for superior ao crédito do exequente, a comissão do leiloeiro e as despesas com remoção, guarda e conservação dos bens poderão ser deduzidas do produto da arrematação.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cs="Times New Roman" w:ascii="Times New Roman" w:hAnsi="Times New Roman"/>
          <w:b/>
          <w:bCs/>
          <w:sz w:val="24"/>
          <w:szCs w:val="24"/>
        </w:rPr>
        <w:t>pena de detenção de dois meses a um ano</w:t>
      </w:r>
      <w:r>
        <w:rPr>
          <w:rFonts w:cs="Times New Roman" w:ascii="Times New Roman" w:hAnsi="Times New Roman"/>
          <w:sz w:val="24"/>
          <w:szCs w:val="24"/>
        </w:rPr>
        <w:t>, ou multa, além da pena correspondente à violência.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Ficam intimadas as </w:t>
      </w:r>
      <w:r>
        <w:rPr>
          <w:rFonts w:cs="Times New Roman" w:ascii="Times New Roman" w:hAnsi="Times New Roman"/>
          <w:b/>
          <w:bCs/>
          <w:sz w:val="24"/>
          <w:szCs w:val="24"/>
        </w:rPr>
        <w:t>partes, coproprietários, cônjuges, credores hipotecários, fiduciários e credores com penhoras averbadas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Ficam intimados o(s) </w:t>
      </w:r>
      <w:r>
        <w:rPr>
          <w:rFonts w:cs="Times New Roman" w:ascii="Times New Roman" w:hAnsi="Times New Roman"/>
          <w:b/>
          <w:bCs/>
          <w:sz w:val="24"/>
          <w:szCs w:val="24"/>
        </w:rPr>
        <w:t>devedor(es) e/ou depositário(s)</w:t>
      </w:r>
      <w:r>
        <w:rPr>
          <w:rFonts w:cs="Times New Roman" w:ascii="Times New Roman" w:hAnsi="Times New Roman"/>
          <w:sz w:val="24"/>
          <w:szCs w:val="24"/>
        </w:rPr>
        <w:t xml:space="preserve"> não localizado(s).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A arrematação será considerada concluída somente após a </w:t>
      </w:r>
      <w:r>
        <w:rPr>
          <w:rFonts w:cs="Times New Roman" w:ascii="Times New Roman" w:hAnsi="Times New Roman"/>
          <w:b/>
          <w:bCs/>
          <w:sz w:val="24"/>
          <w:szCs w:val="24"/>
        </w:rPr>
        <w:t>homologação pelo MM Juiz</w:t>
      </w:r>
      <w:r>
        <w:rPr>
          <w:rFonts w:cs="Times New Roman" w:ascii="Times New Roman" w:hAnsi="Times New Roman"/>
          <w:sz w:val="24"/>
          <w:szCs w:val="24"/>
        </w:rPr>
        <w:t xml:space="preserve"> da vara competente.</w:t>
      </w:r>
    </w:p>
    <w:p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LEIA O EDITAL.</w:t>
      </w:r>
      <w:r>
        <w:rPr>
          <w:rFonts w:cs="Times New Roman" w:ascii="Times New Roman" w:hAnsi="Times New Roman"/>
          <w:sz w:val="24"/>
          <w:szCs w:val="24"/>
        </w:rPr>
        <w:t xml:space="preserve"> Em caso de dúvida, o que estiver disposto no edital é o que prevalecerá.</w:t>
      </w:r>
    </w:p>
    <w:p>
      <w:pPr>
        <w:pStyle w:val="ListParagraph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ListParagraph"/>
        <w:numPr>
          <w:ilvl w:val="0"/>
          <w:numId w:val="4"/>
        </w:numPr>
        <w:ind w:hanging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Verifique as </w:t>
      </w:r>
      <w:r>
        <w:rPr>
          <w:rFonts w:cs="Times New Roman" w:ascii="Times New Roman" w:hAnsi="Times New Roman"/>
          <w:b/>
          <w:bCs/>
          <w:sz w:val="24"/>
          <w:szCs w:val="24"/>
        </w:rPr>
        <w:t>indisponibilidades e registros de penhoras</w:t>
      </w:r>
      <w:r>
        <w:rPr>
          <w:rFonts w:cs="Times New Roman" w:ascii="Times New Roman" w:hAnsi="Times New Roman"/>
          <w:sz w:val="24"/>
          <w:szCs w:val="24"/>
        </w:rPr>
        <w:t xml:space="preserve"> na matrícula dos bens, disponível no cartório de imóveis:</w:t>
      </w:r>
    </w:p>
    <w:p>
      <w:pPr>
        <w:pStyle w:val="NormalWeb"/>
        <w:spacing w:before="280" w:after="280"/>
        <w:jc w:val="both"/>
        <w:rPr/>
      </w:pPr>
      <w:r>
        <w:rPr>
          <w:rFonts w:cs="Segoe UI Symbol" w:ascii="Segoe UI Symbol" w:hAnsi="Segoe UI Symbol"/>
        </w:rPr>
        <w:t>📌</w:t>
      </w:r>
      <w:r>
        <w:rPr/>
        <w:t xml:space="preserve"> </w:t>
      </w:r>
      <w:r>
        <w:rPr/>
        <w:t>Lista consolidada até 13.08.2025. Matricula n 70.998</w:t>
      </w:r>
    </w:p>
    <w:p>
      <w:pPr>
        <w:pStyle w:val="NormalWeb"/>
        <w:numPr>
          <w:ilvl w:val="0"/>
          <w:numId w:val="2"/>
        </w:numPr>
        <w:suppressAutoHyphens w:val="false"/>
        <w:spacing w:before="100" w:after="0"/>
        <w:jc w:val="both"/>
        <w:rPr/>
      </w:pPr>
      <w:r>
        <w:rPr/>
        <w:t xml:space="preserve">R-10 – Proc. nº </w:t>
      </w:r>
      <w:r>
        <w:rPr>
          <w:b/>
          <w:bCs/>
          <w:color w:val="000000"/>
          <w:shd w:fill="E1E1E1" w:val="clear"/>
        </w:rPr>
        <w:t>0234611-91.1995.8.13.0079</w:t>
      </w:r>
      <w:r>
        <w:rPr/>
        <w:t>– 1ª Vara Cível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R-12 – Proc. nº </w:t>
      </w:r>
      <w:r>
        <w:rPr>
          <w:b/>
          <w:bCs/>
          <w:color w:val="000000"/>
          <w:shd w:fill="E1E1E1" w:val="clear"/>
        </w:rPr>
        <w:t>0090870-56.1996.8.13.0079</w:t>
      </w:r>
      <w:r>
        <w:rPr/>
        <w:t>– 3ª Vara Cível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R-13 – Proc. nº </w:t>
      </w:r>
      <w:r>
        <w:rPr>
          <w:b/>
          <w:bCs/>
          <w:color w:val="000000"/>
          <w:shd w:fill="E1E1E1" w:val="clear"/>
        </w:rPr>
        <w:t>0021022-45.1997.8.13.0079</w:t>
      </w:r>
      <w:r>
        <w:rPr/>
        <w:t xml:space="preserve"> – 1ª Vara da Fazenda Pública, Falências, Concordatas e Registros Públicos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R-14 – Proc. nº </w:t>
      </w:r>
      <w:r>
        <w:rPr>
          <w:b/>
          <w:bCs/>
          <w:color w:val="000000"/>
          <w:shd w:fill="E1E1E1" w:val="clear"/>
        </w:rPr>
        <w:t>0198721-23.1997.8.13.0079</w:t>
      </w:r>
      <w:r>
        <w:rPr>
          <w:rStyle w:val="Strong"/>
        </w:rPr>
        <w:t xml:space="preserve">- </w:t>
      </w:r>
      <w:r>
        <w:rPr/>
        <w:t xml:space="preserve"> 2ª Vara da Fazenda Pública, Falências, Concordatas e Registros Públicos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R-15 – Proc. nº</w:t>
      </w:r>
      <w:r>
        <w:rPr>
          <w:b/>
          <w:bCs/>
          <w:color w:val="000000"/>
          <w:shd w:fill="E1E1E1" w:val="clear"/>
        </w:rPr>
        <w:t>0021022-45.1997.8.13.0079</w:t>
      </w:r>
      <w:r>
        <w:rPr/>
        <w:t>– 1ª Vara da Fazenda Pública, Falências, Concordatas e Registros Públicos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R-16 – Proc. nº</w:t>
      </w:r>
      <w:r>
        <w:rPr>
          <w:b/>
          <w:bCs/>
          <w:color w:val="000000"/>
          <w:shd w:fill="E1E1E1" w:val="clear"/>
        </w:rPr>
        <w:t>0202937-27.1997.8.13.0079</w:t>
      </w:r>
      <w:r>
        <w:rPr/>
        <w:t xml:space="preserve">– 1ª Vara da Fazenda Pública, Falências, Concordatas e Registros Públicos de Contagem/MG(JUSTIÇA FEDEERAL). 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R-17 – Proc. nº</w:t>
      </w:r>
      <w:r>
        <w:rPr>
          <w:b/>
          <w:bCs/>
          <w:color w:val="000000"/>
          <w:shd w:fill="E1E1E1" w:val="clear"/>
        </w:rPr>
        <w:t>0001149-59.1997.8.13.0079</w:t>
      </w:r>
      <w:r>
        <w:rPr/>
        <w:t>– 2ª Vara da Fazenda Pública, Falências, Concordatas e Registros Públicos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>
          <w:highlight w:val="yellow"/>
        </w:rPr>
        <w:t xml:space="preserve">R-18 – Proc. nº </w:t>
      </w:r>
      <w:r>
        <w:rPr>
          <w:rStyle w:val="Strong"/>
          <w:highlight w:val="yellow"/>
        </w:rPr>
        <w:t>01/01739/91</w:t>
      </w:r>
      <w:r>
        <w:rPr>
          <w:highlight w:val="yellow"/>
        </w:rPr>
        <w:t xml:space="preserve"> – 1ª Vara do Trabalho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R-19 – Proc. nº </w:t>
      </w:r>
      <w:r>
        <w:rPr>
          <w:b/>
          <w:bCs/>
          <w:color w:val="000000"/>
          <w:shd w:fill="E1E1E1" w:val="clear"/>
        </w:rPr>
        <w:t>0165199-68.1998.8.13.0079</w:t>
      </w:r>
      <w:r>
        <w:rPr/>
        <w:t>– 1ª Vara da Fazenda Pública, Falências, Concordatas e Registros Públicos de Contagem/MG(JUSTIÇA FEDERAL)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>
          <w:highlight w:val="yellow"/>
        </w:rPr>
      </w:pPr>
      <w:r>
        <w:rPr>
          <w:highlight w:val="yellow"/>
        </w:rPr>
        <w:t>R-20 – Proc. nº 29.001/01 – 2ª Vara Cível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R-21 – Proc. nº </w:t>
      </w:r>
      <w:r>
        <w:rPr>
          <w:b/>
          <w:bCs/>
          <w:color w:val="000000"/>
          <w:shd w:fill="E1E1E1" w:val="clear"/>
        </w:rPr>
        <w:t>0273385-83.2001.8.13.0079</w:t>
      </w:r>
      <w:r>
        <w:rPr/>
        <w:t>– 1ª Vara da Fazenda Pública, Falências, Concordatas e Registros Públicos de Contagem/MG(JUSTIÇA FEDERAL)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R-22 – Proc. nº </w:t>
      </w:r>
      <w:r>
        <w:rPr>
          <w:b/>
          <w:bCs/>
          <w:color w:val="000000"/>
          <w:shd w:fill="E1E1E1" w:val="clear"/>
        </w:rPr>
        <w:t>0216970-80.2001.8.13.0079</w:t>
      </w:r>
      <w:r>
        <w:rPr/>
        <w:t>– 1ª Vara da Fazenda Pública, Falências, Concordatas e Registros Públicos de Contagem/MG(JUSTIÇA FEDERAL)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R-23 – Proc. nº </w:t>
      </w:r>
      <w:r>
        <w:rPr>
          <w:b/>
          <w:bCs/>
          <w:color w:val="000000"/>
          <w:shd w:fill="E1E1E1" w:val="clear"/>
        </w:rPr>
        <w:t>1285671-86.1997.8.13.0024</w:t>
      </w:r>
      <w:r>
        <w:rPr/>
        <w:t>– 16ª Vara Cível de Belo Horizonte/MG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AV-24 – </w:t>
      </w:r>
      <w:r>
        <w:rPr>
          <w:rStyle w:val="Strong"/>
        </w:rPr>
        <w:t>Arrolamento administrativo</w:t>
      </w:r>
      <w:r>
        <w:rPr/>
        <w:t xml:space="preserve"> – Fazenda Nacional – Receita Federal de Contagem/MG (03/04/2003)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R-25 – Proc. nº</w:t>
      </w:r>
      <w:r>
        <w:rPr>
          <w:b/>
          <w:bCs/>
          <w:color w:val="000000"/>
          <w:shd w:fill="E1E1E1" w:val="clear"/>
        </w:rPr>
        <w:t>0715753-71.2003.8.13.0079</w:t>
      </w:r>
      <w:r>
        <w:rPr/>
        <w:t>– 1ª Vara da Fazenda Pública, Falências, Concordatas e Registros Públicos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>
          <w:rStyle w:val="Strong"/>
        </w:rPr>
        <w:t>R-28 - Processo:</w:t>
      </w:r>
      <w:r>
        <w:rPr/>
        <w:t xml:space="preserve"> </w:t>
      </w:r>
      <w:r>
        <w:rPr>
          <w:b/>
          <w:bCs/>
          <w:color w:val="000000"/>
          <w:shd w:fill="E1E1E1" w:val="clear"/>
        </w:rPr>
        <w:t>0320810-14.1998.8.13.0079</w:t>
      </w:r>
      <w:r>
        <w:rPr/>
        <w:t>-</w:t>
      </w:r>
      <w:r>
        <w:rPr>
          <w:rStyle w:val="Strong"/>
        </w:rPr>
        <w:t>Vara:</w:t>
      </w:r>
      <w:r>
        <w:rPr/>
        <w:t xml:space="preserve"> 1ª Vara da Fazenda Municipal de Contagem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>
          <w:rStyle w:val="Strong"/>
        </w:rPr>
        <w:t>R-29 - Processo:</w:t>
      </w:r>
      <w:r>
        <w:rPr/>
        <w:t xml:space="preserve"> 0005900-43-2006.5.03.0131-</w:t>
      </w:r>
      <w:r>
        <w:rPr>
          <w:rStyle w:val="Strong"/>
        </w:rPr>
        <w:t>Vara:</w:t>
      </w:r>
      <w:r>
        <w:rPr/>
        <w:t xml:space="preserve"> 5ª Vara do Trabalho de Contagem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R-30-70998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 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>1411772-56.2004.8.13.0079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1ª Vara da Fazenda Pública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R-31-70998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0110800-20.2005-5-03-0032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4ª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R-35-70998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0107500-50.2005.5.03.0032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, 4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referente à ação movida por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Carlos Juvencio Alves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R-36-70998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0125700-14.2005.5.03.0030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2ª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movida pela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União Federal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R-37-70998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>9691846-98.2009.8.13.0079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1ª Vara da Fazenda Pública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também movida pelo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Estado de Minas Gerais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R-38-70998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(referente apenas à fração ideal de 101,50 m² do lote 08) – Processo nº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>2742121-78.2006.8.13.0079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2ª Vara da Fazenda Municipal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movido pelo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Município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R-41-70998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0000022-70.2011.5.03.0032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4ª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movido pela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União Federal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AV-42-70998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Indisponibilidade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Processo nº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 xml:space="preserve"> 4325525-79.2008.8.13.0079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(JUSTIÇA FEDERAL).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R-44-70998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Penhora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Processo nº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0291900.29.1996.5.03.0029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expedido pela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em ação movida por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Fernando Caetano da Rocha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AV-45-70998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Indisponibilidade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Processo nº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0000601.55.2010.5.03.0031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expedido pela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3ª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, determinando o impedimento judicial de transferência do imóvel.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R-46-70998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Penhora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Processo nº</w:t>
      </w:r>
      <w:r>
        <w:rPr>
          <w:rFonts w:cs="Times New Roman" w:ascii="Times New Roman" w:hAnsi="Times New Roman"/>
          <w:b/>
          <w:bCs/>
          <w:color w:val="8B0000"/>
          <w:sz w:val="24"/>
          <w:szCs w:val="24"/>
          <w:shd w:fill="FFFFFF" w:val="clear"/>
        </w:rPr>
        <w:t>0001100-02.1997.5.03.0029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expedido pela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em ação movida por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José Maria de Oliveira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R-47-70998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</w:t>
      </w:r>
      <w:r>
        <w:rPr>
          <w:rFonts w:cs="Times New Roman" w:ascii="Times New Roman" w:hAnsi="Times New Roman"/>
          <w:b/>
          <w:bCs/>
          <w:color w:val="8B0000"/>
          <w:sz w:val="24"/>
          <w:szCs w:val="24"/>
          <w:shd w:fill="FFFFFF" w:val="clear"/>
        </w:rPr>
        <w:t>0210400-04.1997.5.03.0029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expedido pela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em ação movida por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Laercio Ferreira Ramos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R-48-70998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</w:t>
      </w:r>
      <w:r>
        <w:rPr>
          <w:rFonts w:cs="Times New Roman" w:ascii="Times New Roman" w:hAnsi="Times New Roman"/>
          <w:b/>
          <w:bCs/>
          <w:color w:val="8B0000"/>
          <w:sz w:val="24"/>
          <w:szCs w:val="24"/>
          <w:shd w:fill="FFFFFF" w:val="clear"/>
        </w:rPr>
        <w:t>0145100-95.1997.5.03.0029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também da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movida por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Roberto Ricardo Marques Sena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a mesma empresa.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R-49-70998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</w:t>
      </w:r>
      <w:r>
        <w:rPr>
          <w:rFonts w:cs="Times New Roman" w:ascii="Times New Roman" w:hAnsi="Times New Roman"/>
          <w:b/>
          <w:bCs/>
          <w:color w:val="8B0000"/>
          <w:sz w:val="24"/>
          <w:szCs w:val="24"/>
          <w:shd w:fill="FFFFFF" w:val="clear"/>
        </w:rPr>
        <w:t>0003600-17.1992.5.03.0029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da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movida por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José Neivan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R-50-70998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 xml:space="preserve"> 0217986-45.1996.8.13.0079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da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1ª Vara da Fazenda Municipal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movida pelo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Município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R-51-70998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Penhora da fração ideal correspondente a 200m²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de uma área de 28.000,00m² – Processo nº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 xml:space="preserve"> 9691366-23.2009.8.13.0079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expedido pela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2ª Vara da Fazenda Pública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movido pelo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Estado de Minas Gerais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R-52-70998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Penhora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Processo nº</w:t>
      </w:r>
      <w:r>
        <w:rPr>
          <w:rFonts w:cs="Times New Roman" w:ascii="Times New Roman" w:hAnsi="Times New Roman"/>
          <w:b/>
          <w:bCs/>
          <w:color w:val="8B0000"/>
          <w:sz w:val="24"/>
          <w:szCs w:val="24"/>
          <w:shd w:fill="FFFFFF" w:val="clear"/>
        </w:rPr>
        <w:t>0000968-14.2012.5.03.0030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expedido pela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2ª Vara do Trabalho de Contagem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movido pela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União Federal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contra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Pohlig Heckel do Brasil Indústria e Comércio Ltda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R-53-70998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 xml:space="preserve"> 2892173-86.2006.8.13.0079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, 1ª Vara da Fazenda Municipal de Contagem, ação movida pelo Município de Contagem contra Pohlig Heckel do Brasil Indústria e Comércio Ltda.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  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R-55-70998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 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>2668169-66.2006.8.13.0079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- 1ª Vara da Fazenda Municipal de Contagem, ação movida pelo Município de Contagem contra Pohlig Heckel do Brasil Indústria e Comércio Ltda.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R-56-70998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 xml:space="preserve"> 0164128-40.2012.8.13.0079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, 1ª Vara da Fazenda Municipal de Contagem, ação movida pelo Município de Contagem contra Pohlig Heckel do Brasil Indústria e Comércio Ltda.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R-58-70998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 xml:space="preserve"> 9392932-80.2009.8.13.0079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, da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2ª Vara da Fazenda Pública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, também contra Pohlig Heckel do Brasil Indústria e Comércio Ltda.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R-59-70998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– Processo nº</w:t>
      </w: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E1E1E1" w:val="clear"/>
        </w:rPr>
        <w:t xml:space="preserve"> 3888366-70.2008.8.13.0079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, 1ª Vara da Fazenda Municipal de Contagem, ação movida pelo Município de Contagem contra Pohlig Heckel do Brasil Indústria e Comércio Ltda., em 27 de fevereiro de 2015.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t-BR"/>
        </w:rPr>
        <w:t>R-60-70998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 xml:space="preserve"> – Penhora referente apenas à fração ideal de 1% do imóvel – Processo nº 10347-25.2014.4.01.3820, 3ª Vara Federal da Subseção Judiciária de Contagem.</w:t>
      </w:r>
    </w:p>
    <w:p>
      <w:pPr>
        <w:pStyle w:val="NormalWeb"/>
        <w:numPr>
          <w:ilvl w:val="0"/>
          <w:numId w:val="2"/>
        </w:numPr>
        <w:suppressAutoHyphens w:val="false"/>
        <w:spacing w:before="100" w:after="0"/>
        <w:jc w:val="both"/>
        <w:rPr/>
      </w:pPr>
      <w:r>
        <w:rPr/>
        <w:t xml:space="preserve">R-61 – Prenotação nº 417918 – Indisponibilidade da fração ideal de 1% – 07/05/2015 – Contagem/MG PENHORA R-60. 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pt-BR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R-62 – 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Penhora – Processo nº</w:t>
      </w:r>
      <w:r>
        <w:rPr>
          <w:rFonts w:cs="Times New Roman" w:ascii="Times New Roman" w:hAnsi="Times New Roman"/>
          <w:b/>
          <w:bCs/>
          <w:color w:val="8B0000"/>
          <w:sz w:val="24"/>
          <w:szCs w:val="24"/>
          <w:shd w:fill="FFFFFF" w:val="clear"/>
        </w:rPr>
        <w:t>0000022-70.2011.5.03.0032</w:t>
      </w:r>
      <w:r>
        <w:rPr>
          <w:rFonts w:eastAsia="Times New Roman" w:cs="Times New Roman" w:ascii="Times New Roman" w:hAnsi="Times New Roman"/>
          <w:sz w:val="24"/>
          <w:szCs w:val="24"/>
          <w:lang w:eastAsia="pt-BR"/>
        </w:rPr>
        <w:t>, 4ª Vara do trabalho de  Contagem contra Pohlig Heckel do Brasil Indústria e Comércio Ltda.</w:t>
      </w:r>
    </w:p>
    <w:p>
      <w:pPr>
        <w:pStyle w:val="NormalWeb"/>
        <w:numPr>
          <w:ilvl w:val="0"/>
          <w:numId w:val="2"/>
        </w:numPr>
        <w:suppressAutoHyphens w:val="false"/>
        <w:spacing w:before="100" w:after="0"/>
        <w:jc w:val="both"/>
        <w:rPr/>
      </w:pPr>
      <w:r>
        <w:rPr/>
        <w:t>R-64 – Processo</w:t>
      </w:r>
      <w:r>
        <w:rPr>
          <w:b/>
          <w:bCs/>
          <w:color w:val="000000"/>
          <w:shd w:fill="E1E1E1" w:val="clear"/>
        </w:rPr>
        <w:t>0423704-43.2013.8.13.0079</w:t>
      </w:r>
      <w:r>
        <w:rPr/>
        <w:t>– Penhora – 18/04/2016 –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AV-65 – Ajuizamento de ação- Processo</w:t>
      </w:r>
      <w:r>
        <w:rPr>
          <w:b/>
          <w:bCs/>
          <w:color w:val="000000"/>
          <w:shd w:fill="E1E1E1" w:val="clear"/>
        </w:rPr>
        <w:t xml:space="preserve"> 3751558-92.2007.8.13.0079</w:t>
      </w:r>
      <w:r>
        <w:rPr/>
        <w:t>–3° vara cível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R-67 – Proc. nº</w:t>
      </w:r>
      <w:r>
        <w:rPr>
          <w:b/>
          <w:bCs/>
          <w:color w:val="000000"/>
          <w:shd w:fill="E1E1E1" w:val="clear"/>
        </w:rPr>
        <w:t>0041667-52.2001.8.13.0079</w:t>
      </w:r>
      <w:r>
        <w:rPr/>
        <w:t>– 4ª Vara Cível de Contagem/MG – Penhora – 12/04/2017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AV-71 – Processo 0012155.79.2013.5.03.0031 – 3ª Vara do Trabalho de Contagem – Indisponibilidade – 20/04/2018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AV-73 – Precesso 0012276.64.2014.5.03.0131 – 5ª Vara do Trabalho de Contagem – Indisponibilidade – 05/04/2019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AV-75 – Processo 0012117.22.2014.5.03.0164 – 6ª Vara do Trabalho de Contagem – Indisponibilidade – 20/05/2019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AV-76 – Processo 0010956.28.2013.5.03.0029 – 1ª Vara do Trabalho de Contagem – Indisponibilidade – 19/08/2019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AV-77 – Processo 0012448.12.2014.5.03.0031 – 3ª Vara do Trabalho de Contagem – Indisponibilidade – 04/10/2019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AV-78 – Processo 0010839.61.2016.5.03.0181 – 43ª Vara do Trabalho de Belo Horizonte – Indisponibilidade – 13/01/2021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AV-79 – Processo 0011984.45.2015.5.03.0131  – 5ª Vara do Trabalho de Contagem – Indisponibilidade – 26/05/2021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AV-80 – Processo 0011886.06.2014.5.03.0031– 3ª Vara do Trabalho de Contagem – Indisponibilidade – 20/08/2021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AV-82 – Processo 0012063.36-2015-5-030030 – 2ª Vara do Trabalho de Contagem – Indisponibilidade – 05/09/2022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AV-85 – Processo 0012448.12.2014.5.03.0032- 3ª Vara do Trabalho de Contagem – Indisponibilidade – 02/05/2024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AV-86 – Processo 0010521.66.2015.5.03.0164 – 2ª Vara do Trabalho de Contagem – Indisponibilidade – 08/07/2024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AV-87 – Processo 0011615.29.2016.5.03.0030 – 2ª Vara do Trabalho de Contagem – Indisponibilidade – 11/09/2024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AV-88 – Processo 0011644.87.2013.5.03.0029 – 1ª Vara do Trabalho de Contagem – Indisponibilidade – 29/10/2024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AV-89 – Processo 9225702-13.2009.8.13.0079 – 1ª Vara Empresarial, de Fazenda Pública e Registros Públicos – Indisponibilidade – 17/12/2024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AV-91 – Processo 0012155.79.2013.5.03.0031 – 3ª Vara do Trabalho de Contagem/MG – Indisponibilidade – 01/04/2025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R-92 – Processo 0012063.36.25015.5.03.0030 – 2ª Vara do Trabalho de Contagem/MG – Penhora – 22/04/2025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>AV-94 – Processo 0010175.61.2017.5.03.0030 – 13/06/2025 – INDISPONIBILIDADE – 3ª Vara do Trabalho de Contagem/MG</w:t>
      </w:r>
    </w:p>
    <w:p>
      <w:pPr>
        <w:pStyle w:val="NormalWeb"/>
        <w:numPr>
          <w:ilvl w:val="0"/>
          <w:numId w:val="2"/>
        </w:numPr>
        <w:suppressAutoHyphens w:val="false"/>
        <w:spacing w:before="0" w:after="0"/>
        <w:jc w:val="both"/>
        <w:rPr/>
      </w:pPr>
      <w:r>
        <w:rPr/>
        <w:t xml:space="preserve"> </w:t>
      </w:r>
      <w:r>
        <w:rPr/>
        <w:t>R-95 – Processo 0012031.51.2014.5.03.0164 – 16/07/2025 – PENHORA – Núcleo de Apoio às Execuções da 3ª Região do Tribunal Regional do Trabalho</w:t>
      </w:r>
    </w:p>
    <w:p>
      <w:pPr>
        <w:pStyle w:val="NormalWeb"/>
        <w:numPr>
          <w:ilvl w:val="0"/>
          <w:numId w:val="2"/>
        </w:numPr>
        <w:suppressAutoHyphens w:val="false"/>
        <w:spacing w:before="0" w:after="100"/>
        <w:jc w:val="both"/>
        <w:rPr/>
      </w:pPr>
      <w:r>
        <w:rPr/>
        <w:t xml:space="preserve">R-96 – Processo 0010725.72.2025.5.03.0031 – 17/07/2025 – PENHORA – Auto de Penhora e Avaliação da 3ª Vara do Trabalho de Contagem/MG </w:t>
      </w:r>
    </w:p>
    <w:p>
      <w:pPr>
        <w:pStyle w:val="NormalWeb"/>
        <w:spacing w:before="280" w:after="280"/>
        <w:rPr/>
      </w:pPr>
      <w:r>
        <w:rPr>
          <w:rFonts w:cs="Segoe UI Symbol" w:ascii="Segoe UI Symbol" w:hAnsi="Segoe UI Symbol"/>
        </w:rPr>
        <w:t>📌</w:t>
      </w:r>
      <w:r>
        <w:rPr/>
        <w:t xml:space="preserve"> </w:t>
      </w:r>
      <w:r>
        <w:rPr>
          <w:rStyle w:val="Strong"/>
        </w:rPr>
        <w:t>Lista consolidada até 13.08.2025 — Matrícula n° 70.999</w:t>
      </w:r>
    </w:p>
    <w:p>
      <w:pPr>
        <w:pStyle w:val="NormalWeb"/>
        <w:numPr>
          <w:ilvl w:val="0"/>
          <w:numId w:val="3"/>
        </w:numPr>
        <w:suppressAutoHyphens w:val="false"/>
        <w:spacing w:before="100" w:after="0"/>
        <w:rPr/>
      </w:pPr>
      <w:r>
        <w:rPr/>
        <w:t>R-8 – Processo nº 1285671-86.1997.8.13.0024, 16ª Vara Cível, Comarca BH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R-9 – Processo nº 0001751-26.1992.8.13.0079, 2ª Vara Cível,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R-10 – Processo nº 0145894-98.1998.8.13.0079, 2ª Vara Fazenda Pública (Justiça Federal)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R-12 – Processo nº 1522701-59.2004.8.13.0079, 2ª Vara Fazenda Pública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R-16 – (Índice Cadastral: 109006190017), atualizado em Contagem-MG, 04/05/2010 (atualização cadastral)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AV-18 – Processo nº 4325525-79.2008.8.13.0079, 1ª Vara Fazenda Pública (Justiça Federal)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R-20 – Processo nº 9691366-23.2009.8.13.0079, 2ª Vara Fazenda Pública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R-21 – Processo nº 3437802-89.2007.8.13.0079, 1ª Vara Fazenda Pública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R-22 – Processo nº 00968-2012-003-03-00-3, 2ª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R-23 – Processo nº 0164128-40.2012.8.13.0079, Vara Fazenda Municipal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R-26 – Processo nº 10347.25.2014.4.01.3820, 3ª Vara Federal, Subseção Judiciária Contagem-MG (penhora 1%)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AV-27 – Processo relacionado a penhora 1%, indisponibilidade, art. 53, §1º Lei 8212/91, data 07/05/2015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AV-28 – Processo nº 0000022-70.2011.5.03.0032, 4ª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AV-31 – Processo nº 3751558-92.2007.8.13.0079, 3ª Vara Cível,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AV-35 – Processo nº 0012155.79.2013.5.03.0031, 3ª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AV-39 – Processo nº 0012276.64.2014.5.03.0131, 5ª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41 – Processo nº 00121172.22.2014.5.03.0164, 6ª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42-– Processo nº 0010956.28.2013.5.03.0029, 1ª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43-– Processo nº 001244812.2014.5.03.0031, 3ª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44- Processo nº 001083961.2016.5.03.0181, 43ª Vara Trabalho, Comarca BH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45- Processo nº 001198445.20155030131, 5ª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46- Processo nº 0011886.06.20154030031, 3ª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47- Processo nº 00120633620155030030, 2ª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48-Processo nº 0012448.12.20144030032, 3ª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49- Processo nº 00105121066.2015530164, 2ª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50- Processo nº 001161529.2016.5.03.0030, 2ª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51- Processo nº 0011644-87.2013.5.03.0029, 1ª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52- Processo nº 9225702-13.2009.8.13.0079, 1ª Vara Empresarial, Fazenda Pública e Registros,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54- Processo nº 001215579.20135030031, 3ª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55- Processo nº 0012063-36.2015.5.03.0030, 2ª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56- Processo nº 0010175-61.2017.5.03.0031, 3ª Vara Trabalho,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0"/>
        <w:rPr/>
      </w:pPr>
      <w:r>
        <w:rPr/>
        <w:t>AV 57-Processo nº 0012031-51.2014.5.03.0164, Núcleo Apoio às Execuções, Comarca Contagem</w:t>
      </w:r>
    </w:p>
    <w:p>
      <w:pPr>
        <w:pStyle w:val="NormalWeb"/>
        <w:numPr>
          <w:ilvl w:val="0"/>
          <w:numId w:val="3"/>
        </w:numPr>
        <w:suppressAutoHyphens w:val="false"/>
        <w:spacing w:before="0" w:after="100"/>
        <w:rPr/>
      </w:pPr>
      <w:r>
        <w:rPr/>
        <w:t>AV 58- Processo nº 0010725-72.2022.5.03.0031, 3ª Vara Trabalho, Comarca Contagem</w:t>
      </w:r>
    </w:p>
    <w:p>
      <w:pPr>
        <w:pStyle w:val="Normal"/>
        <w:spacing w:before="0" w:after="16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swiss"/>
    <w:pitch w:val="variable"/>
  </w:font>
  <w:font w:name="Segoe UI Symbol"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99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33e8e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133e8e"/>
    <w:rPr>
      <w:b/>
      <w:bCs/>
    </w:rPr>
  </w:style>
  <w:style w:type="character" w:styleId="Hyperlink">
    <w:name w:val="Hyperlink"/>
    <w:basedOn w:val="DefaultParagraphFont"/>
    <w:uiPriority w:val="99"/>
    <w:unhideWhenUsed/>
    <w:rsid w:val="00133e8e"/>
    <w:rPr>
      <w:color w:themeColor="hyperlink" w:val="0563C1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133e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NoSpacing">
    <w:name w:val="No Spacing"/>
    <w:uiPriority w:val="1"/>
    <w:qFormat/>
    <w:rsid w:val="00133e8e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ListParagraph">
    <w:name w:val="List Paragraph"/>
    <w:basedOn w:val="Normal"/>
    <w:uiPriority w:val="34"/>
    <w:qFormat/>
    <w:rsid w:val="00ec6133"/>
    <w:pPr>
      <w:suppressAutoHyphens w:val="false"/>
      <w:spacing w:before="0" w:after="160"/>
      <w:ind w:left="720"/>
      <w:contextualSpacing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pje.trt3.jus.br/pjekz/consulta-documentos?nrProcesso=0012031-51.2014.5.03.0164&amp;idUnicoDocumento=78e7668" TargetMode="External"/><Relationship Id="rId3" Type="http://schemas.openxmlformats.org/officeDocument/2006/relationships/hyperlink" Target="https://pje.trt3.jus.br/pjekz/consulta-documentos?nrProcesso=0012031-51.2014.5.03.0164&amp;idUnicoDocumento=c69fea5" TargetMode="External"/><Relationship Id="rId4" Type="http://schemas.openxmlformats.org/officeDocument/2006/relationships/hyperlink" Target="http://www.arnaldoleiloes.com.br/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4B5509-30F0-4350-87A3-86345A3B8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LibreOffice/25.2.7.2$Windows_X86_64 LibreOffice_project/5cbfd1ab6520636bb5f7b99185aa69bd7456825d</Application>
  <AppVersion>15.0000</AppVersion>
  <Pages>9</Pages>
  <Words>2959</Words>
  <Characters>17925</Characters>
  <CharactersWithSpaces>20826</CharactersWithSpaces>
  <Paragraphs>152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2026-01-30T21:07:00Z</dcterms:created>
  <dc:creator>Dep_pessoal8</dc:creator>
  <dc:description/>
  <dc:language>pt-BR</dc:language>
  <cp:lastModifiedBy/>
  <cp:lastPrinted>2026-02-03T15:12:08Z</cp:lastPrinted>
  <dcterms:modified xsi:type="dcterms:W3CDTF">2026-02-03T15:17:23Z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