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08"/>
          <w:tab w:val="left" w:pos="2268" w:leader="none"/>
        </w:tabs>
        <w:spacing w:lineRule="auto" w:line="276"/>
        <w:jc w:val="both"/>
        <w:rPr>
          <w:rFonts w:cs="Calibri" w:cstheme="minorHAnsi"/>
          <w:b/>
          <w:sz w:val="24"/>
          <w:szCs w:val="24"/>
        </w:rPr>
      </w:pPr>
      <w:r>
        <w:rPr>
          <w:rFonts w:cs="Calibri" w:cstheme="minorHAnsi"/>
          <w:b/>
          <w:sz w:val="24"/>
          <w:szCs w:val="24"/>
        </w:rPr>
        <w:t xml:space="preserve">EDITAL DE 1° e 2° LEILÃO E INTIMAÇÃO DE ALIENAÇÃO JUDICIAL (CONFORME LEI N° 13.105/2015) </w:t>
      </w:r>
    </w:p>
    <w:p>
      <w:pPr>
        <w:pStyle w:val="western"/>
        <w:spacing w:lineRule="atLeast" w:line="240" w:before="280" w:afterAutospacing="0" w:after="0"/>
        <w:jc w:val="both"/>
        <w:rPr>
          <w:rFonts w:ascii="Calibri" w:hAnsi="Calibri" w:cs="Calibri" w:asciiTheme="minorHAnsi" w:cstheme="minorHAnsi" w:hAnsiTheme="minorHAnsi"/>
          <w:b/>
        </w:rPr>
      </w:pPr>
      <w:r>
        <w:rPr>
          <w:rFonts w:cs="Calibri" w:ascii="Calibri" w:hAnsi="Calibri" w:asciiTheme="minorHAnsi" w:cstheme="minorHAnsi" w:hAnsiTheme="minorHAnsi"/>
          <w:b/>
          <w:color w:val="000000"/>
        </w:rPr>
        <w:t xml:space="preserve">PROCESSO Nº: </w:t>
      </w:r>
      <w:r>
        <w:rPr>
          <w:rFonts w:cs="Calibri" w:ascii="Calibri" w:hAnsi="Calibri" w:asciiTheme="minorHAnsi" w:cstheme="minorHAnsi" w:hAnsiTheme="minorHAnsi"/>
          <w:b/>
        </w:rPr>
        <w:t>3072239-51.2014.8.13.0024</w:t>
      </w:r>
    </w:p>
    <w:p>
      <w:pPr>
        <w:pStyle w:val="western"/>
        <w:spacing w:lineRule="atLeast" w:line="240" w:before="280" w:afterAutospacing="0" w:after="0"/>
        <w:jc w:val="both"/>
        <w:rPr>
          <w:rFonts w:ascii="Calibri" w:hAnsi="Calibri" w:cs="Calibri" w:asciiTheme="minorHAnsi" w:cstheme="minorHAnsi" w:hAnsiTheme="minorHAnsi"/>
          <w:b/>
          <w:color w:val="000000"/>
        </w:rPr>
      </w:pPr>
      <w:r>
        <w:rPr>
          <w:rFonts w:cs="Calibri" w:ascii="Calibri" w:hAnsi="Calibri" w:asciiTheme="minorHAnsi" w:cstheme="minorHAnsi" w:hAnsiTheme="minorHAnsi"/>
          <w:b/>
          <w:color w:val="000000"/>
        </w:rPr>
        <w:t>CLASSE: [CÍVEL] EXECUÇÃO FISCAL (1116)</w:t>
      </w:r>
    </w:p>
    <w:p>
      <w:pPr>
        <w:pStyle w:val="western"/>
        <w:spacing w:lineRule="atLeast" w:line="240" w:before="280" w:afterAutospacing="0" w:after="0"/>
        <w:jc w:val="both"/>
        <w:rPr>
          <w:rFonts w:ascii="Calibri" w:hAnsi="Calibri" w:cs="Calibri" w:asciiTheme="minorHAnsi" w:cstheme="minorHAnsi" w:hAnsiTheme="minorHAnsi"/>
          <w:b/>
          <w:bCs/>
        </w:rPr>
      </w:pPr>
      <w:r>
        <w:rPr>
          <w:rFonts w:cs="Calibri" w:ascii="Calibri" w:hAnsi="Calibri" w:asciiTheme="minorHAnsi" w:cstheme="minorHAnsi" w:hAnsiTheme="minorHAnsi"/>
          <w:b/>
          <w:color w:val="000000"/>
        </w:rPr>
        <w:t xml:space="preserve">EXEQUENTE: </w:t>
      </w:r>
      <w:r>
        <w:rPr>
          <w:rFonts w:cs="Calibri" w:ascii="Calibri" w:hAnsi="Calibri" w:asciiTheme="minorHAnsi" w:cstheme="minorHAnsi" w:hAnsiTheme="minorHAnsi"/>
          <w:b/>
          <w:bCs/>
        </w:rPr>
        <w:t>ESTADO DE MINAS GERAIS</w:t>
      </w:r>
    </w:p>
    <w:p>
      <w:pPr>
        <w:pStyle w:val="western"/>
        <w:spacing w:lineRule="atLeast" w:line="240" w:before="280" w:afterAutospacing="0" w:after="0"/>
        <w:jc w:val="both"/>
        <w:rPr>
          <w:rFonts w:ascii="Calibri" w:hAnsi="Calibri" w:cs="Calibri" w:asciiTheme="minorHAnsi" w:cstheme="minorHAnsi" w:hAnsiTheme="minorHAnsi"/>
          <w:b/>
          <w:bCs/>
        </w:rPr>
      </w:pPr>
      <w:r>
        <w:rPr>
          <w:rFonts w:cs="Calibri" w:ascii="Calibri" w:hAnsi="Calibri" w:asciiTheme="minorHAnsi" w:cstheme="minorHAnsi" w:hAnsiTheme="minorHAnsi"/>
          <w:b/>
          <w:color w:val="000000"/>
        </w:rPr>
        <w:t>EXECUTADO(A):</w:t>
      </w:r>
      <w:r>
        <w:rPr>
          <w:rFonts w:cs="Calibri" w:ascii="Calibri" w:hAnsi="Calibri" w:asciiTheme="minorHAnsi" w:cstheme="minorHAnsi" w:hAnsiTheme="minorHAnsi"/>
          <w:color w:val="000000"/>
        </w:rPr>
        <w:t xml:space="preserve"> </w:t>
      </w:r>
      <w:r>
        <w:rPr>
          <w:rFonts w:cs="Calibri" w:ascii="Calibri" w:hAnsi="Calibri" w:asciiTheme="minorHAnsi" w:cstheme="minorHAnsi" w:hAnsiTheme="minorHAnsi"/>
          <w:b/>
          <w:bCs/>
        </w:rPr>
        <w:t>POLARIS INCORPORACOES LTDA – ME</w:t>
      </w:r>
    </w:p>
    <w:p>
      <w:pPr>
        <w:pStyle w:val="western"/>
        <w:spacing w:lineRule="atLeast" w:line="240" w:before="280" w:afterAutospacing="0" w:after="0"/>
        <w:jc w:val="both"/>
        <w:rPr>
          <w:rFonts w:ascii="Century Gothic" w:hAnsi="Century Gothic" w:cs="Arial"/>
          <w:b/>
        </w:rPr>
      </w:pPr>
      <w:r>
        <w:rPr>
          <w:rFonts w:cs="Arial" w:ascii="Century Gothic" w:hAnsi="Century Gothic"/>
          <w:b/>
        </w:rPr>
      </w:r>
    </w:p>
    <w:p>
      <w:pPr>
        <w:pStyle w:val="NoSpacing"/>
        <w:spacing w:lineRule="auto" w:line="276"/>
        <w:jc w:val="both"/>
        <w:rPr>
          <w:rFonts w:ascii="Calibri" w:hAnsi="Calibri" w:eastAsia="SimSun" w:cs="Calibri" w:asciiTheme="minorHAnsi" w:cstheme="minorHAnsi" w:hAnsiTheme="minorHAnsi"/>
          <w:sz w:val="24"/>
          <w:szCs w:val="24"/>
          <w:shd w:fill="FEFFFE" w:val="clear"/>
          <w:lang w:eastAsia="zh-CN" w:bidi="hi-IN"/>
        </w:rPr>
      </w:pPr>
      <w:r>
        <w:rPr>
          <w:rFonts w:eastAsia="SimSun" w:cs="Calibri" w:ascii="Calibri" w:hAnsi="Calibri" w:asciiTheme="minorHAnsi" w:cstheme="minorHAnsi" w:hAnsiTheme="minorHAnsi"/>
          <w:b/>
          <w:bCs/>
          <w:sz w:val="24"/>
          <w:szCs w:val="24"/>
          <w:shd w:fill="FEFFFE" w:val="clear"/>
          <w:lang w:eastAsia="zh-CN" w:bidi="hi-IN"/>
        </w:rPr>
        <w:t>PRESENCIAL LOCAL</w:t>
      </w:r>
      <w:r>
        <w:rPr>
          <w:rFonts w:eastAsia="SimSun" w:cs="Calibri" w:ascii="Calibri" w:hAnsi="Calibri" w:asciiTheme="minorHAnsi" w:cstheme="minorHAnsi" w:hAnsiTheme="minorHAnsi"/>
          <w:b/>
          <w:sz w:val="24"/>
          <w:szCs w:val="24"/>
          <w:shd w:fill="FEFFFE" w:val="clear"/>
          <w:lang w:eastAsia="zh-CN" w:bidi="hi-IN"/>
        </w:rPr>
        <w:t xml:space="preserve">: </w:t>
      </w:r>
      <w:r>
        <w:rPr/>
        <w:t>Rua Sacadura Cabral, nº 680 , bairro Vila Oeste, BH/MG</w:t>
      </w:r>
    </w:p>
    <w:p>
      <w:pPr>
        <w:pStyle w:val="NoSpacing"/>
        <w:spacing w:lineRule="auto" w:line="276"/>
        <w:jc w:val="both"/>
        <w:rPr>
          <w:rFonts w:ascii="Calibri" w:hAnsi="Calibri" w:cs="Calibri" w:asciiTheme="minorHAnsi" w:cstheme="minorHAnsi" w:hAnsiTheme="minorHAnsi"/>
          <w:sz w:val="24"/>
          <w:szCs w:val="24"/>
          <w:shd w:fill="FEFFFE" w:val="clear"/>
          <w:lang w:bidi="hi-IN"/>
        </w:rPr>
      </w:pPr>
      <w:r>
        <w:rPr>
          <w:rFonts w:cs="Calibri" w:cstheme="minorHAnsi"/>
          <w:sz w:val="24"/>
          <w:szCs w:val="24"/>
          <w:shd w:fill="FEFFFE" w:val="clear"/>
          <w:lang w:bidi="hi-IN"/>
        </w:rPr>
      </w:r>
    </w:p>
    <w:p>
      <w:pPr>
        <w:pStyle w:val="NoSpacing"/>
        <w:spacing w:lineRule="auto" w:line="276"/>
        <w:jc w:val="both"/>
        <w:rPr>
          <w:rFonts w:ascii="Calibri" w:hAnsi="Calibri" w:cs="Calibri" w:asciiTheme="minorHAnsi" w:cstheme="minorHAnsi" w:hAnsiTheme="minorHAnsi"/>
          <w:color w:val="000000"/>
          <w:sz w:val="24"/>
          <w:szCs w:val="24"/>
        </w:rPr>
      </w:pPr>
      <w:r>
        <w:rPr>
          <w:rFonts w:cs="Calibri" w:ascii="Calibri" w:hAnsi="Calibri" w:asciiTheme="minorHAnsi" w:cstheme="minorHAnsi" w:hAnsiTheme="minorHAnsi"/>
          <w:b/>
          <w:color w:val="000000"/>
          <w:sz w:val="24"/>
          <w:szCs w:val="24"/>
        </w:rPr>
        <w:t>SEGUNDA PRAÇA:</w:t>
      </w:r>
      <w:r>
        <w:rPr>
          <w:rFonts w:cs="Calibri" w:ascii="Calibri" w:hAnsi="Calibri" w:asciiTheme="minorHAnsi" w:cstheme="minorHAnsi" w:hAnsiTheme="minorHAnsi"/>
          <w:color w:val="000000"/>
          <w:sz w:val="24"/>
          <w:szCs w:val="24"/>
        </w:rPr>
        <w:t xml:space="preserve"> Caso não haja licitantes e seja frustrado o 1º leilão, nem haja adjudicação, está vigente a segunda data e horário. </w:t>
      </w:r>
    </w:p>
    <w:p>
      <w:pPr>
        <w:pStyle w:val="NoSpacing"/>
        <w:spacing w:lineRule="auto" w:line="276"/>
        <w:jc w:val="both"/>
        <w:rPr>
          <w:rFonts w:ascii="Calibri" w:hAnsi="Calibri" w:cs="Calibri" w:asciiTheme="minorHAnsi" w:cstheme="minorHAnsi" w:hAnsiTheme="minorHAnsi"/>
          <w:sz w:val="24"/>
          <w:szCs w:val="24"/>
          <w:shd w:fill="FEFFFE" w:val="clear"/>
          <w:lang w:bidi="hi-IN"/>
        </w:rPr>
      </w:pPr>
      <w:r>
        <w:rPr>
          <w:rFonts w:cs="Calibri" w:cstheme="minorHAnsi"/>
          <w:sz w:val="24"/>
          <w:szCs w:val="24"/>
          <w:shd w:fill="FEFFFE" w:val="clear"/>
          <w:lang w:bidi="hi-IN"/>
        </w:rPr>
      </w:r>
    </w:p>
    <w:p>
      <w:pPr>
        <w:pStyle w:val="Normal"/>
        <w:spacing w:lineRule="auto" w:line="276"/>
        <w:jc w:val="both"/>
        <w:rPr>
          <w:rFonts w:eastAsia="SimSun" w:cs="Calibri" w:cstheme="minorHAnsi"/>
          <w:sz w:val="24"/>
          <w:szCs w:val="24"/>
          <w:shd w:fill="FEFFFE" w:val="clear"/>
          <w:lang w:eastAsia="zh-CN" w:bidi="hi-IN"/>
        </w:rPr>
      </w:pPr>
      <w:r>
        <w:rPr>
          <w:rFonts w:eastAsia="SimSun" w:cs="Calibri" w:cstheme="minorHAnsi"/>
          <w:b/>
          <w:sz w:val="24"/>
          <w:szCs w:val="24"/>
          <w:shd w:fill="FEFFFE" w:val="clear"/>
          <w:lang w:eastAsia="zh-CN" w:bidi="hi-IN"/>
        </w:rPr>
        <w:t>LEILÃO VIRTUAL- ON LINE</w:t>
      </w:r>
      <w:r>
        <w:rPr>
          <w:rFonts w:eastAsia="SimSun" w:cs="Calibri" w:cstheme="minorHAnsi"/>
          <w:sz w:val="24"/>
          <w:szCs w:val="24"/>
          <w:shd w:fill="FEFFFE" w:val="clear"/>
          <w:lang w:eastAsia="zh-CN" w:bidi="hi-IN"/>
        </w:rPr>
        <w:t xml:space="preserve"> - O leilão TAMBÉM será realizado na forma VIRTUAL com o cadastramento no site </w:t>
      </w:r>
      <w:hyperlink r:id="rId2">
        <w:r>
          <w:rPr>
            <w:rStyle w:val="Hyperlink"/>
            <w:rFonts w:cs="Calibri" w:cstheme="minorHAnsi"/>
            <w:b/>
            <w:sz w:val="24"/>
            <w:szCs w:val="24"/>
          </w:rPr>
          <w:t>www.arnaldoleiloes.com.br</w:t>
        </w:r>
      </w:hyperlink>
      <w:r>
        <w:rPr>
          <w:rStyle w:val="Hyperlink"/>
          <w:b/>
          <w:sz w:val="24"/>
          <w:szCs w:val="24"/>
        </w:rPr>
        <w:t>,</w:t>
      </w:r>
      <w:r>
        <w:rPr>
          <w:rFonts w:eastAsia="SimSun" w:cs="Calibri" w:cstheme="minorHAnsi"/>
          <w:sz w:val="24"/>
          <w:szCs w:val="24"/>
          <w:shd w:fill="FEFFFE" w:val="clear"/>
          <w:lang w:eastAsia="zh-CN" w:bidi="hi-IN"/>
        </w:rPr>
        <w:t xml:space="preserve"> em virtude da praticidade e celeridade.</w:t>
      </w:r>
    </w:p>
    <w:p>
      <w:pPr>
        <w:pStyle w:val="Normal"/>
        <w:tabs>
          <w:tab w:val="clear" w:pos="708"/>
          <w:tab w:val="left" w:pos="567" w:leader="none"/>
        </w:tabs>
        <w:spacing w:lineRule="auto" w:line="276"/>
        <w:jc w:val="both"/>
        <w:rPr>
          <w:rFonts w:cs="Calibri" w:cstheme="minorHAnsi"/>
          <w:sz w:val="24"/>
          <w:szCs w:val="24"/>
          <w:shd w:fill="FFFFFF" w:val="clear"/>
        </w:rPr>
      </w:pPr>
      <w:r>
        <w:rPr>
          <w:rFonts w:cs="Calibri" w:cstheme="minorHAnsi"/>
          <w:b/>
          <w:sz w:val="24"/>
          <w:szCs w:val="24"/>
          <w:shd w:fill="FFFFFF" w:val="clear"/>
        </w:rPr>
        <w:t>ATENÇÃO À REGRA DE FECHAMENTO DO LOTE</w:t>
      </w:r>
      <w:r>
        <w:rPr>
          <w:rFonts w:cs="Calibri" w:cstheme="minorHAnsi"/>
          <w:sz w:val="24"/>
          <w:szCs w:val="24"/>
          <w:shd w:fill="FFFFFF" w:val="clear"/>
        </w:rPr>
        <w:t xml:space="preserve">: Para lotes com lance vencedor o encerramento será imediato, após o “famoso” dou-lhe uma, dou-lhe duas, dou-lhe três”(que é o tempo  dado aos participantes para seguirem e retomarem a disputa de forma idônea). </w:t>
      </w:r>
    </w:p>
    <w:p>
      <w:pPr>
        <w:pStyle w:val="ListParagraph"/>
        <w:ind w:start="0"/>
        <w:jc w:val="both"/>
        <w:rPr>
          <w:rFonts w:cs="Calibri" w:cstheme="minorHAnsi"/>
          <w:sz w:val="24"/>
          <w:szCs w:val="24"/>
        </w:rPr>
      </w:pPr>
      <w:r>
        <w:rPr>
          <w:rFonts w:cs="Calibri" w:cstheme="minorHAnsi"/>
          <w:b/>
          <w:sz w:val="24"/>
          <w:szCs w:val="24"/>
        </w:rPr>
        <w:t>ATENÇÃO AOS LANCES -</w:t>
      </w:r>
      <w:r>
        <w:rPr>
          <w:rFonts w:cs="Calibri" w:cstheme="minorHAnsi"/>
          <w:sz w:val="24"/>
          <w:szCs w:val="24"/>
        </w:rPr>
        <w:t xml:space="preserve"> Os lances deverão ser ofertados pela rede Internet, através do portal </w:t>
      </w:r>
      <w:hyperlink r:id="rId3">
        <w:r>
          <w:rPr>
            <w:rStyle w:val="Hyperlink"/>
            <w:rFonts w:cs="Calibri" w:cstheme="minorHAnsi"/>
            <w:sz w:val="24"/>
            <w:szCs w:val="24"/>
          </w:rPr>
          <w:t>www.arnaldoleiloes.com.br</w:t>
        </w:r>
      </w:hyperlink>
      <w:r>
        <w:rPr>
          <w:rFonts w:cs="Calibri" w:cstheme="minorHAnsi"/>
          <w:sz w:val="24"/>
          <w:szCs w:val="24"/>
        </w:rPr>
        <w:t xml:space="preserve">, mediante cadastro, responsabilizando-se o participante pela utilização da senha de acesso que receber, não serão aceitos lances ou propostas enviadas por e-mail. </w:t>
      </w:r>
    </w:p>
    <w:p>
      <w:pPr>
        <w:pStyle w:val="ListParagraph"/>
        <w:ind w:start="0"/>
        <w:jc w:val="both"/>
        <w:rPr>
          <w:rFonts w:cs="Calibri" w:cstheme="minorHAnsi"/>
          <w:sz w:val="24"/>
          <w:szCs w:val="24"/>
        </w:rPr>
      </w:pPr>
      <w:r>
        <w:rPr>
          <w:rFonts w:cs="Calibri" w:cstheme="minorHAnsi"/>
          <w:sz w:val="24"/>
          <w:szCs w:val="24"/>
        </w:rPr>
      </w:r>
    </w:p>
    <w:p>
      <w:pPr>
        <w:pStyle w:val="ListParagraph"/>
        <w:ind w:start="0"/>
        <w:jc w:val="both"/>
        <w:rPr>
          <w:rFonts w:eastAsia="SimSun" w:cs="Calibri" w:cstheme="minorHAnsi"/>
          <w:b/>
          <w:bCs/>
          <w:sz w:val="24"/>
          <w:szCs w:val="24"/>
          <w:shd w:fill="FEFFFE" w:val="clear"/>
          <w:lang w:eastAsia="zh-CN" w:bidi="hi-IN"/>
        </w:rPr>
      </w:pPr>
      <w:r>
        <w:rPr>
          <w:rFonts w:cs="Calibri" w:cstheme="minorHAnsi"/>
          <w:b/>
          <w:sz w:val="24"/>
          <w:szCs w:val="24"/>
        </w:rPr>
        <w:t xml:space="preserve">SOBRE A PARTICIPAÇÃO DO PRETENDENTE: </w:t>
      </w:r>
      <w:r>
        <w:rPr>
          <w:rFonts w:cs="Calibri" w:cstheme="minorHAnsi"/>
          <w:sz w:val="24"/>
          <w:szCs w:val="24"/>
        </w:rPr>
        <w:t xml:space="preserve">A participação por meio eletrônico constitui faculdade personalíssima do licitante, não se responsabilizando este leiloeiro por eventuais problemas técnicos, operacionais ou falhas de conexão que venham a ocorrer durante o leilão e que impossibilitem, no todo ou em parte, a oportunidade de arrematar por essa modalidade. </w:t>
      </w:r>
    </w:p>
    <w:p>
      <w:pPr>
        <w:pStyle w:val="Normal"/>
        <w:tabs>
          <w:tab w:val="clear" w:pos="708"/>
          <w:tab w:val="left" w:pos="2268" w:leader="none"/>
        </w:tabs>
        <w:spacing w:lineRule="auto" w:line="276"/>
        <w:jc w:val="both"/>
        <w:rPr>
          <w:rFonts w:cs="Calibri" w:cstheme="minorHAnsi"/>
          <w:b/>
          <w:sz w:val="24"/>
          <w:szCs w:val="24"/>
        </w:rPr>
      </w:pPr>
      <w:r>
        <w:rPr>
          <w:rFonts w:cs="Calibri" w:cstheme="minorHAnsi"/>
          <w:b/>
          <w:sz w:val="24"/>
          <w:szCs w:val="24"/>
        </w:rPr>
        <w:t>DATA DOS LEILÕES</w:t>
      </w:r>
      <w:r>
        <w:rPr>
          <w:rFonts w:cs="Calibri" w:cstheme="minorHAnsi"/>
          <w:sz w:val="24"/>
          <w:szCs w:val="24"/>
        </w:rPr>
        <w:t>: ARNALDO EMÍLIO COLOMBAROLLI, JUCEMG 813, Leiloeiro Público Oficial, nomeado pelo M.M. Juiz desta Comarca faz ciência aos interessados e, principalmente, aos executados/devedores, que no processo indicado venderá os bens discriminados, pelo maior lance, em LEILÃO PÚBLICO a ser realizado por meio eletrônico (online) e presencial. O</w:t>
      </w:r>
      <w:r>
        <w:rPr>
          <w:rFonts w:cs="Calibri" w:cstheme="minorHAnsi"/>
          <w:b/>
          <w:sz w:val="24"/>
          <w:szCs w:val="24"/>
        </w:rPr>
        <w:t xml:space="preserve"> 1° leilão, será no dia 1</w:t>
      </w:r>
      <w:r>
        <w:rPr>
          <w:rFonts w:cs="Calibri" w:cstheme="minorHAnsi"/>
          <w:b/>
          <w:sz w:val="24"/>
          <w:szCs w:val="24"/>
        </w:rPr>
        <w:t>1</w:t>
      </w:r>
      <w:r>
        <w:rPr>
          <w:rFonts w:cs="Calibri" w:cstheme="minorHAnsi"/>
          <w:b/>
          <w:sz w:val="24"/>
          <w:szCs w:val="24"/>
        </w:rPr>
        <w:t>/0</w:t>
      </w:r>
      <w:r>
        <w:rPr>
          <w:rFonts w:cs="Calibri" w:cstheme="minorHAnsi"/>
          <w:b/>
          <w:sz w:val="24"/>
          <w:szCs w:val="24"/>
        </w:rPr>
        <w:t>3</w:t>
      </w:r>
      <w:r>
        <w:rPr>
          <w:rFonts w:cs="Calibri" w:cstheme="minorHAnsi"/>
          <w:b/>
          <w:sz w:val="24"/>
          <w:szCs w:val="24"/>
        </w:rPr>
        <w:t>/202</w:t>
      </w:r>
      <w:r>
        <w:rPr>
          <w:rFonts w:cs="Calibri" w:cstheme="minorHAnsi"/>
          <w:b/>
          <w:sz w:val="24"/>
          <w:szCs w:val="24"/>
        </w:rPr>
        <w:t>6</w:t>
      </w:r>
      <w:r>
        <w:rPr>
          <w:rFonts w:cs="Calibri" w:cstheme="minorHAnsi"/>
          <w:b/>
          <w:sz w:val="24"/>
          <w:szCs w:val="24"/>
        </w:rPr>
        <w:t xml:space="preserve"> às 14:00 e O 2° leilão </w:t>
      </w:r>
      <w:r>
        <w:rPr>
          <w:rFonts w:cs="Calibri" w:cstheme="minorHAnsi"/>
          <w:b/>
          <w:sz w:val="24"/>
          <w:szCs w:val="24"/>
        </w:rPr>
        <w:t>11</w:t>
      </w:r>
      <w:r>
        <w:rPr>
          <w:rFonts w:cs="Calibri" w:cstheme="minorHAnsi"/>
          <w:b/>
          <w:sz w:val="24"/>
          <w:szCs w:val="24"/>
        </w:rPr>
        <w:t>/0</w:t>
      </w:r>
      <w:r>
        <w:rPr>
          <w:rFonts w:cs="Calibri" w:cstheme="minorHAnsi"/>
          <w:b/>
          <w:sz w:val="24"/>
          <w:szCs w:val="24"/>
        </w:rPr>
        <w:t>3</w:t>
      </w:r>
      <w:r>
        <w:rPr>
          <w:rFonts w:cs="Calibri" w:cstheme="minorHAnsi"/>
          <w:b/>
          <w:sz w:val="24"/>
          <w:szCs w:val="24"/>
        </w:rPr>
        <w:t>/202</w:t>
      </w:r>
      <w:r>
        <w:rPr>
          <w:rFonts w:cs="Calibri" w:cstheme="minorHAnsi"/>
          <w:b/>
          <w:sz w:val="24"/>
          <w:szCs w:val="24"/>
        </w:rPr>
        <w:t>6</w:t>
      </w:r>
      <w:r>
        <w:rPr>
          <w:rFonts w:cs="Calibri" w:cstheme="minorHAnsi"/>
          <w:b/>
          <w:sz w:val="24"/>
          <w:szCs w:val="24"/>
        </w:rPr>
        <w:t xml:space="preserve"> às 14:15, ambos realizados através da plataforma eletrônica </w:t>
      </w:r>
      <w:hyperlink r:id="rId4">
        <w:r>
          <w:rPr>
            <w:rStyle w:val="Hyperlink"/>
            <w:rFonts w:cs="Calibri" w:cstheme="minorHAnsi"/>
            <w:b/>
            <w:sz w:val="24"/>
            <w:szCs w:val="24"/>
          </w:rPr>
          <w:t>www.arnaldoleiloes.com.br</w:t>
        </w:r>
      </w:hyperlink>
      <w:r>
        <w:rPr>
          <w:rFonts w:cs="Calibri" w:cstheme="minorHAnsi"/>
          <w:b/>
          <w:sz w:val="24"/>
          <w:szCs w:val="24"/>
        </w:rPr>
        <w:t xml:space="preserve">.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No primeiro leilão, os bens não poderão ser vendidos por valor inferior ao da avaliação. Caso os bens não sejam arrematados, no primeiro leilão por valor igual ou superior ao valor da avaliação, será realizado o segundo leilão, na data e hora indicada, quando será arrematado o bem por quem oferecer o maior lanço, ficando desde já registrado que não serão aceitos lances em valor inferior ao percentual de 50% (cinquenta por cento), do valor da avaliação, desprezando-se o preço vil (conforme art. 891, parágrafo único, da Lei13.105/2015).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Se não houver expediente forense na data designada, o leilão será realizado no primeiro dia útil subsequente, no mesmo horário e local.   </w:t>
      </w:r>
    </w:p>
    <w:p>
      <w:pPr>
        <w:pStyle w:val="Normal"/>
        <w:jc w:val="both"/>
        <w:rPr/>
      </w:pPr>
      <w:r>
        <w:rPr>
          <w:rFonts w:cs="Calibri" w:cstheme="minorHAnsi"/>
          <w:b/>
          <w:sz w:val="24"/>
          <w:szCs w:val="24"/>
        </w:rPr>
        <w:t xml:space="preserve">DESCRIÇÃO DO BEM: </w:t>
      </w:r>
      <w:r>
        <w:rPr/>
        <w:t>imóvel Chácara número 12 (doze), no interior do Condomínio Retiro Bela Vista, registrado sob a matrícula 31649, livro 02, perante o Serviço Registral de Imóveis “Antônio Roberto de Almeida”, na comarca de Santa Luzia, com aproximadamente 24.417 m</w:t>
      </w:r>
      <w:r>
        <w:rPr>
          <w:vertAlign w:val="superscript"/>
        </w:rPr>
        <w:t>2</w:t>
      </w:r>
      <w:r>
        <w:rPr/>
        <w:t>, com topografia muito acidentada de aproximadamente 45 graus de declive, apresentando, na parte inferior, uma área plana próxima ao Rio das Velhas. O local está tomado por vegetação o que dificulta o acesso ao imóvel inteiro. VALOR DA AVALIAÇÃO R$ 850.000,00 (oitocentos e cinquenta mil reais) a partir de informações do valor do metro quadrado na região e em comparação a outros imóveis na mesma região.</w:t>
      </w:r>
    </w:p>
    <w:p>
      <w:pPr>
        <w:pStyle w:val="Normal"/>
        <w:jc w:val="both"/>
        <w:rPr>
          <w:rFonts w:cs="Calibri" w:cstheme="minorHAnsi"/>
          <w:b/>
          <w:bCs/>
          <w:sz w:val="24"/>
          <w:szCs w:val="24"/>
        </w:rPr>
      </w:pPr>
      <w:r>
        <w:rPr>
          <w:rFonts w:cs="Calibri" w:cstheme="minorHAnsi"/>
          <w:b/>
          <w:bCs/>
          <w:sz w:val="24"/>
          <w:szCs w:val="24"/>
        </w:rPr>
        <w:t xml:space="preserve">Lance mínimo em primeiro leilão 100% da avaliação feita pelo oficial de justiça, AVALIAÇÃO R$ 850.000,00 (oitocentos e cinquenta mil reais) </w:t>
      </w:r>
    </w:p>
    <w:p>
      <w:pPr>
        <w:pStyle w:val="Normal"/>
        <w:jc w:val="both"/>
        <w:rPr>
          <w:rFonts w:cs="Calibri" w:cstheme="minorHAnsi"/>
          <w:sz w:val="24"/>
          <w:szCs w:val="24"/>
        </w:rPr>
      </w:pPr>
      <w:r>
        <w:rPr>
          <w:rFonts w:cs="Calibri" w:cstheme="minorHAnsi"/>
          <w:b/>
          <w:bCs/>
          <w:sz w:val="24"/>
          <w:szCs w:val="24"/>
        </w:rPr>
        <w:t>Lance mínimo em segundo leilão 50% da avaliação feita pelo oficial de justiça</w:t>
      </w:r>
      <w:r>
        <w:rPr>
          <w:rFonts w:cs="Calibri" w:cstheme="minorHAnsi"/>
          <w:sz w:val="24"/>
          <w:szCs w:val="24"/>
        </w:rPr>
        <w:t xml:space="preserve">, R$ </w:t>
      </w:r>
      <w:r>
        <w:rPr>
          <w:rFonts w:cs="Calibri" w:cstheme="minorHAnsi"/>
          <w:b/>
          <w:bCs/>
          <w:sz w:val="24"/>
          <w:szCs w:val="24"/>
        </w:rPr>
        <w:t>425.000 (quatrocentos e vinte e cinco mil reais)</w:t>
      </w:r>
    </w:p>
    <w:p>
      <w:pPr>
        <w:pStyle w:val="Normal"/>
        <w:tabs>
          <w:tab w:val="clear" w:pos="708"/>
          <w:tab w:val="left" w:pos="2268" w:leader="none"/>
        </w:tabs>
        <w:spacing w:lineRule="auto" w:line="276"/>
        <w:jc w:val="both"/>
        <w:rPr/>
      </w:pPr>
      <w:r>
        <w:rPr/>
        <w:t xml:space="preserve">O interessado deverá verificar junto ao Cartório de Registro de Imóveis a existência de averbações nas matrículas. O respectivo bem será vendido no estado de conservação em que se encontra, sem garantia, constituindo ônus do interessado verificar suas condições, antes das datas designadas para as alienações judiciais eletrônicas. </w:t>
      </w:r>
    </w:p>
    <w:p>
      <w:pPr>
        <w:pStyle w:val="Normal"/>
        <w:tabs>
          <w:tab w:val="clear" w:pos="708"/>
          <w:tab w:val="left" w:pos="2268" w:leader="none"/>
        </w:tabs>
        <w:spacing w:lineRule="auto" w:line="276"/>
        <w:jc w:val="both"/>
        <w:rPr>
          <w:rFonts w:cs="Calibri" w:cstheme="minorHAnsi"/>
          <w:b/>
          <w:sz w:val="24"/>
          <w:szCs w:val="24"/>
        </w:rPr>
      </w:pPr>
      <w:r>
        <w:rPr/>
        <w:t xml:space="preserve">O arrematante arcará com os débitos pendentes que recaiam sobre o bem, exceto os decorrentes de débitos fiscais e tributários conforme artigo 130, parágrafo único, do Código Tributário Nacional e exceto os débitos de condomínio (que possuem natureza </w:t>
      </w:r>
      <w:r>
        <w:rPr>
          <w:i/>
          <w:iCs/>
        </w:rPr>
        <w:t>propter rem</w:t>
      </w:r>
      <w:r>
        <w:rPr/>
        <w:t>), os quais ficam sub-rogados no preço da arrematação</w:t>
      </w:r>
    </w:p>
    <w:p>
      <w:pPr>
        <w:pStyle w:val="Normal"/>
        <w:tabs>
          <w:tab w:val="clear" w:pos="708"/>
          <w:tab w:val="left" w:pos="2268" w:leader="none"/>
        </w:tabs>
        <w:spacing w:lineRule="auto" w:line="276"/>
        <w:jc w:val="both"/>
        <w:rPr>
          <w:rFonts w:cs="Calibri" w:cstheme="minorHAnsi"/>
          <w:sz w:val="24"/>
          <w:szCs w:val="24"/>
        </w:rPr>
      </w:pPr>
      <w:r>
        <w:rPr>
          <w:rFonts w:cs="Calibri" w:cstheme="minorHAnsi"/>
          <w:b/>
          <w:sz w:val="24"/>
          <w:szCs w:val="24"/>
        </w:rPr>
        <w:t>FORMAS E CONDIÇÕES DE PAGAMENTO:</w:t>
      </w:r>
      <w:r>
        <w:rPr>
          <w:rFonts w:cs="Calibri" w:cstheme="minorHAnsi"/>
          <w:sz w:val="24"/>
          <w:szCs w:val="24"/>
        </w:rPr>
        <w:t xml:space="preserve"> O arrematante deverá efetuar o pagamento da seguinte forma: Sendo a vista, deverá pagar a integralidade do valor do lance, mediante guia de depósito judicial vinculado aos autos, no prazo de 01 (um) dia, contado do envio da guia/boleto pelo leiloeiro ao arrematante, bem como a comissão do leiloeiro, diretamente na conta bancária por este indicada, no mesmo prazo.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Sendo parcelado, deverá pagar o valor da entrada, mediante guia de depósito judicial vinculado aos autos, no prazo de 01 (um) dia, contado do envio da guia/boleto pelo leiloeiro ao arrematante, bem como a comissão do leiloeiro, diretamente na conta bancária por este indicada, no mesmo prazo.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Deixando o arrematante de efetuar os pagamentos, será imposta a penalidade prevista no art. 897 da Lei 13.105/2015, sem prejuízo das demais penalidades previstas em lei ou no presente edital. </w:t>
      </w:r>
    </w:p>
    <w:p>
      <w:pPr>
        <w:pStyle w:val="Normal"/>
        <w:tabs>
          <w:tab w:val="clear" w:pos="708"/>
          <w:tab w:val="left" w:pos="2268" w:leader="none"/>
        </w:tabs>
        <w:spacing w:lineRule="auto" w:line="276"/>
        <w:jc w:val="both"/>
        <w:rPr>
          <w:rFonts w:cs="Calibri" w:cstheme="minorHAnsi"/>
          <w:sz w:val="24"/>
          <w:szCs w:val="24"/>
        </w:rPr>
      </w:pPr>
      <w:r>
        <w:rPr>
          <w:rFonts w:cs="Calibri" w:cstheme="minorHAnsi"/>
          <w:b/>
          <w:bCs/>
          <w:sz w:val="24"/>
          <w:szCs w:val="24"/>
        </w:rPr>
        <w:t>No caso de pagamento parcelado fica permitido o parcelamento em até 10 (dez) meses, devendo a comissão do leiloeiro ser integralmente paga juntamente com o sinal</w:t>
      </w:r>
      <w:r>
        <w:rPr>
          <w:rFonts w:cs="Calibri" w:cstheme="minorHAnsi"/>
          <w:sz w:val="24"/>
          <w:szCs w:val="24"/>
        </w:rPr>
        <w:t xml:space="preserve">.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Uma vez efetuados os pagamentos, o arrematante, dentro do prazo de 01 (um) dia acima previsto, deverá enviar os comprovantes para o leiloeiro, via e-mail arnaldoleiloes@gmail.com, ou qualquer outro meio hábil e inequívoco, para que o leiloeiro possa fazer a juntada dos comprovantes aos autos.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Na arrematação mediante lance online, o auto de arrematação será assinado pelo Exmo. Juiz apenas após a comprovação efetiva do pagamento integral do valor da arrematação (ou da entrada/sinal, ser for o caso) e da comissão do leiloeiro, ficando dispensada, nesta hipótese, a assinatura do arrematante no referido auto.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Na hipótese de o arrematante não honrar o pagamento, serão sucessivamente chamados os demais arrematantes, pela ordem dos lances ofertados (do maior para o menor), os quais terão o mesmo prazo e condições acima para honrar o valor do lance ofertado, sendo descartados todos os lances em valor inferior ao mínimo previsto no edital.</w:t>
      </w:r>
    </w:p>
    <w:p>
      <w:pPr>
        <w:pStyle w:val="Normal"/>
        <w:tabs>
          <w:tab w:val="clear" w:pos="708"/>
          <w:tab w:val="left" w:pos="2268" w:leader="none"/>
        </w:tabs>
        <w:spacing w:lineRule="auto" w:line="276"/>
        <w:jc w:val="both"/>
        <w:rPr>
          <w:rFonts w:cs="Calibri" w:cstheme="minorHAnsi"/>
          <w:sz w:val="24"/>
          <w:szCs w:val="24"/>
        </w:rPr>
      </w:pPr>
      <w:r>
        <w:rPr>
          <w:rFonts w:cs="Calibri" w:cstheme="minorHAnsi"/>
          <w:b/>
          <w:sz w:val="24"/>
          <w:szCs w:val="24"/>
        </w:rPr>
        <w:t>LANCES PELA INTERNET:</w:t>
      </w:r>
      <w:r>
        <w:rPr>
          <w:rFonts w:cs="Calibri" w:cstheme="minorHAnsi"/>
          <w:sz w:val="24"/>
          <w:szCs w:val="24"/>
        </w:rPr>
        <w:t xml:space="preserve"> Os interessados em participar do leilão poderão dar lances pela internet, através da plataforma eletrônica www.arnaldoleiloes.com.br, para tanto deverão ser observadas e cumpridas as regras indicadas no referido site, não podendo, posteriormente, sob qualquer hipótese, alegar desconhecimento.</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Na modalidade Internet (online) o interessado deve efetuar cadastro prévio no referido site para anuência às regras de participação dispostas e obtenção de "login" e "senha", os quais possibilitarão- a realização de lances em conformidade com as disposições neste edital.</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Os lances oferecidos pela internet não garantem direitos ao participante em recusa do leiloeiro, por qualquer ocorrência, tais como, quedas ou falhas no sistema de conexão de internet, linha telefônica ou quaisquer outras ocorrências, posto que a internet e o site do leiloeiro são apenas facilitadores de oferta. Ao optar por esta forma de participação no leilão, o interessado assume os riscos oriundos de falhas ou impossibilidades técnicas, não sendo cabível qualquer reclamação a esse respeito. </w:t>
      </w:r>
    </w:p>
    <w:p>
      <w:pPr>
        <w:pStyle w:val="Normal"/>
        <w:tabs>
          <w:tab w:val="clear" w:pos="708"/>
          <w:tab w:val="left" w:pos="2268" w:leader="none"/>
        </w:tabs>
        <w:spacing w:lineRule="auto" w:line="276"/>
        <w:jc w:val="both"/>
        <w:rPr>
          <w:rFonts w:cs="Calibri" w:cstheme="minorHAnsi"/>
          <w:sz w:val="24"/>
          <w:szCs w:val="24"/>
        </w:rPr>
      </w:pPr>
      <w:r>
        <w:rPr>
          <w:rFonts w:cs="Calibri" w:cstheme="minorHAnsi"/>
          <w:b/>
          <w:sz w:val="24"/>
          <w:szCs w:val="24"/>
        </w:rPr>
        <w:t>COMISSÃO DO LEILOEIRO</w:t>
      </w:r>
      <w:r>
        <w:rPr>
          <w:rFonts w:cs="Calibri" w:cstheme="minorHAnsi"/>
          <w:sz w:val="24"/>
          <w:szCs w:val="24"/>
        </w:rPr>
        <w:t xml:space="preserve">: Em caso de arrematação, 5% (cinco por cento) sobre o valor da arrematação, em se tratando de bem imóvel e 10% (dez por cento) sobre o valor da arrematação sendo bem móvel, a ser paga pelo arrematante. </w:t>
      </w:r>
    </w:p>
    <w:p>
      <w:pPr>
        <w:pStyle w:val="Normal"/>
        <w:tabs>
          <w:tab w:val="clear" w:pos="708"/>
          <w:tab w:val="left" w:pos="2268" w:leader="none"/>
        </w:tabs>
        <w:spacing w:lineRule="auto" w:line="276"/>
        <w:jc w:val="both"/>
        <w:rPr>
          <w:rFonts w:cs="Calibri" w:cstheme="minorHAnsi"/>
          <w:sz w:val="24"/>
          <w:szCs w:val="24"/>
        </w:rPr>
      </w:pPr>
      <w:r>
        <w:rPr>
          <w:rFonts w:cs="Calibri" w:cstheme="minorHAnsi"/>
          <w:b/>
          <w:sz w:val="24"/>
          <w:szCs w:val="24"/>
        </w:rPr>
        <w:t>ADJUDICAÇÃO:</w:t>
      </w:r>
      <w:r>
        <w:rPr>
          <w:rFonts w:cs="Calibri" w:cstheme="minorHAnsi"/>
          <w:sz w:val="24"/>
          <w:szCs w:val="24"/>
        </w:rPr>
        <w:t xml:space="preserve"> Em caso de adjudicação, 2% (dois por cento) sobre o valor atualizado do bem adjudicado, a ser paga pelo adjudicante. REMIÇÃO: Em caso de remição ou acordo, 2% (dois por cento) sobre o valor atualizado do bem, a ser pago pelo executado. Na hipótese do bem ser arrematado, pelo exequente, será devida a comissão no percentual de 5% (cinco por cento) sobre o valor da arrematação para bens imóveis e, 10% (dez por cento) sobre o valor da arrematação para bens móveis. A comissão deverá ser integralmente paga no ato da arrematação, adjudicação, remição ou acordo.</w:t>
      </w:r>
    </w:p>
    <w:p>
      <w:pPr>
        <w:pStyle w:val="Normal"/>
        <w:tabs>
          <w:tab w:val="clear" w:pos="708"/>
          <w:tab w:val="left" w:pos="2268" w:leader="none"/>
        </w:tabs>
        <w:spacing w:lineRule="auto" w:line="276"/>
        <w:jc w:val="both"/>
        <w:rPr>
          <w:rFonts w:cs="Calibri" w:cstheme="minorHAnsi"/>
          <w:sz w:val="24"/>
          <w:szCs w:val="24"/>
        </w:rPr>
      </w:pPr>
      <w:r>
        <w:rPr>
          <w:rFonts w:cs="Calibri" w:cstheme="minorHAnsi"/>
          <w:b/>
          <w:sz w:val="24"/>
          <w:szCs w:val="24"/>
        </w:rPr>
        <w:t>INFORMAÇÕES:</w:t>
      </w:r>
      <w:r>
        <w:rPr>
          <w:rFonts w:cs="Calibri" w:cstheme="minorHAnsi"/>
          <w:sz w:val="24"/>
          <w:szCs w:val="24"/>
        </w:rPr>
        <w:t xml:space="preserve"> através da plataforma eletrônica www.arnaldoleiloes.com.br/ ou pelo e-mail arnaldoleiloes@gmail.com.br ou pelos telefones (31) 9992-5828.  </w:t>
      </w:r>
    </w:p>
    <w:p>
      <w:pPr>
        <w:pStyle w:val="Normal"/>
        <w:tabs>
          <w:tab w:val="clear" w:pos="708"/>
          <w:tab w:val="left" w:pos="2268" w:leader="none"/>
        </w:tabs>
        <w:spacing w:lineRule="auto" w:line="276"/>
        <w:jc w:val="both"/>
        <w:rPr>
          <w:rFonts w:cs="Calibri" w:cstheme="minorHAnsi"/>
          <w:sz w:val="24"/>
          <w:szCs w:val="24"/>
        </w:rPr>
      </w:pPr>
      <w:r>
        <w:rPr>
          <w:rFonts w:cs="Calibri" w:cstheme="minorHAnsi"/>
          <w:b/>
          <w:sz w:val="24"/>
          <w:szCs w:val="24"/>
        </w:rPr>
        <w:t>CONDIÇÕES GERAIS</w:t>
      </w:r>
      <w:r>
        <w:rPr>
          <w:rFonts w:cs="Calibri" w:cstheme="minorHAnsi"/>
          <w:sz w:val="24"/>
          <w:szCs w:val="24"/>
        </w:rPr>
        <w:t xml:space="preserve">: Aperfeiçoada a arrematação será expedida a carta de arrematação e, conforme o caso, a ordem de entrega ou mandado de imissão na posse.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A venda dos bens imóveis será sempre considerada </w:t>
      </w:r>
      <w:r>
        <w:rPr>
          <w:rFonts w:cs="Calibri" w:cstheme="minorHAnsi"/>
          <w:i/>
          <w:iCs/>
          <w:sz w:val="24"/>
          <w:szCs w:val="24"/>
        </w:rPr>
        <w:t>ad corpus</w:t>
      </w:r>
      <w:r>
        <w:rPr>
          <w:rFonts w:cs="Calibri" w:cstheme="minorHAnsi"/>
          <w:sz w:val="24"/>
          <w:szCs w:val="24"/>
        </w:rPr>
        <w:t>, sendo que eventuais medidas constantes neste edital serão meramente enunciativas.</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 </w:t>
      </w:r>
      <w:r>
        <w:rPr>
          <w:rFonts w:cs="Calibri" w:cstheme="minorHAnsi"/>
          <w:sz w:val="24"/>
          <w:szCs w:val="24"/>
        </w:rPr>
        <w:t xml:space="preserve">Em caso de arrematação de bem móvel, fica ao encargo do arrematante a retirada e transporte do bem do local onde o mesmo se encontra.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Em caso de arrematação ou adjudicação de bem imóvel, caberá ao arrematante tomar as providências e arcar com os custos da desocupação do bem, caso o mesmo esteja ocupado.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Caberá ao arrematante arcar com todos os custos para eventual regularização do bem arrematado.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Caberá ao arrematante arcar com todos os custos da arrematação, inclusive para a expedição da respectiva carta de arrematação, se houver.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Caberá ao arrematante tomar todas as providências e arcar com todos os custos para a transferência do bem junto aos órgãos competentes.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Caberá ao arrematante arcar com todos os tributos eventualmente incidentes sobre a arrematação e transferência do bem, inclusive, mas não somente, ICMS, ITBI, IRPF ou IRPJ, taxas de transferência, dentre outros.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A assinatura do leiloeiro na certidão positiva suprirá a prevista para o auto de arrematação.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Se houver desistência após a arrematação, caberá ao arrematante multa de 20% (vinte por cento) calculada sobre o valor do lance, em favor do exequente.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O executado não poderá impedir o leiloeiro e ou representante legal de vistoriar e fotografar o(s) bem(ns) constrito(s), ficando desde já advertido de que a obstrução ou impedimento constitui crime (Art.330 do Código Penal).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O leiloeiro, por ocasião do leilão, fica, desde já, desobrigado a efetuar a leitura do presente edital, o qual se presume seja de conhecimento de todos os interessados.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Ficam, desde já, intimadas as partes, os coproprietários, os interessados e, principalmente, os executados, credores hipotecários ou credores fiduciários, bem como os respectivos cônjuges, se casados forem.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Caso o exequente e/ou executada não sejam notificados, cientificados e/ou intimados por qualquer razão, da data do leilão e, das datas pré-marcadas em que poderão ser realizados novos leilões, caso não haja licitantes, valerá o presente como edital de intimação de leilão conforme art. 889, parágrafo Único do CPC.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O Leiloeiro Público Oficial não se enquadra na condição de fornecedor, intermediário, ou comerciante, sendo mero mandatário, ficando assim eximido de eventuais responsabilidades por vícios/defeitos ocultos ou não, no bem alienado, como também por reembolsos, indenizações, trocas, consertos e compensações financeiras de qualquer hipótese, nos termos do art. 663, do Código Civil Brasileiro.  </w:t>
      </w:r>
    </w:p>
    <w:p>
      <w:pPr>
        <w:pStyle w:val="Normal"/>
        <w:tabs>
          <w:tab w:val="clear" w:pos="708"/>
          <w:tab w:val="left" w:pos="2268" w:leader="none"/>
        </w:tabs>
        <w:spacing w:lineRule="auto" w:line="276"/>
        <w:jc w:val="both"/>
        <w:rPr>
          <w:rFonts w:cs="Calibri" w:cstheme="minorHAnsi"/>
          <w:sz w:val="24"/>
          <w:szCs w:val="24"/>
        </w:rPr>
      </w:pPr>
      <w:r>
        <w:rPr>
          <w:rFonts w:cs="Calibri" w:cstheme="minorHAnsi"/>
          <w:sz w:val="24"/>
          <w:szCs w:val="24"/>
        </w:rPr>
        <w:t xml:space="preserve"> </w:t>
      </w:r>
      <w:r>
        <w:rPr>
          <w:rFonts w:cs="Calibri" w:cstheme="minorHAnsi"/>
          <w:sz w:val="24"/>
          <w:szCs w:val="24"/>
        </w:rPr>
        <w:t xml:space="preserve">Este edital está em conformidade com a resolução n°236 de 13/07/2016 do CNJ. </w:t>
      </w:r>
    </w:p>
    <w:p>
      <w:pPr>
        <w:pStyle w:val="Normal"/>
        <w:tabs>
          <w:tab w:val="clear" w:pos="708"/>
          <w:tab w:val="left" w:pos="2268" w:leader="none"/>
        </w:tabs>
        <w:spacing w:lineRule="auto" w:line="276" w:before="0" w:after="160"/>
        <w:jc w:val="both"/>
        <w:rPr>
          <w:rFonts w:ascii="Century Gothic" w:hAnsi="Century Gothic" w:cs="Arial"/>
          <w:sz w:val="24"/>
          <w:szCs w:val="24"/>
        </w:rPr>
      </w:pPr>
      <w:r>
        <w:rPr>
          <w:rFonts w:cs="Arial" w:ascii="Century Gothic" w:hAnsi="Century Gothic"/>
          <w:sz w:val="24"/>
          <w:szCs w:val="24"/>
        </w:rPr>
      </w:r>
    </w:p>
    <w:sectPr>
      <w:type w:val="nextPage"/>
      <w:pgSz w:w="11906" w:h="16838"/>
      <w:pgMar w:left="1701" w:right="1701" w:gutter="0" w:header="0" w:top="1417" w:footer="0" w:bottom="141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roman"/>
    <w:pitch w:val="variable"/>
  </w:font>
  <w:font w:name="Tahoma">
    <w:charset w:val="00" w:characterSet="windows-1252"/>
    <w:family w:val="swiss"/>
    <w:pitch w:val="variable"/>
  </w:font>
  <w:font w:name="Liberation Sans">
    <w:altName w:val="Arial"/>
    <w:charset w:val="00" w:characterSet="windows-1252"/>
    <w:family w:val="swiss"/>
    <w:pitch w:val="variable"/>
  </w:font>
  <w:font w:name="Calibri">
    <w:charset w:val="00" w:characterSet="windows-1252"/>
    <w:family w:val="swiss"/>
    <w:pitch w:val="variable"/>
  </w:font>
  <w:font w:name="Century Gothic">
    <w:charset w:val="00" w:characterSet="windows-1252"/>
    <w:family w:val="swiss"/>
    <w:pitch w:val="variable"/>
  </w:font>
</w:fonts>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t-BR"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f2ee7"/>
    <w:pPr>
      <w:widowControl/>
      <w:bidi w:val="0"/>
      <w:spacing w:lineRule="auto" w:line="257" w:before="0" w:after="160"/>
      <w:jc w:val="start"/>
    </w:pPr>
    <w:rPr>
      <w:rFonts w:ascii="Calibri" w:hAnsi="Calibri" w:eastAsia="Calibri" w:cs="" w:asciiTheme="minorHAnsi" w:cstheme="minorBidi" w:eastAsiaTheme="minorHAnsi" w:hAnsiTheme="minorHAnsi"/>
      <w:color w:val="auto"/>
      <w:kern w:val="0"/>
      <w:sz w:val="22"/>
      <w:szCs w:val="22"/>
      <w:lang w:val="pt-BR" w:eastAsia="en-US" w:bidi="ar-SA"/>
    </w:rPr>
  </w:style>
  <w:style w:type="paragraph" w:styleId="Heading1">
    <w:name w:val="heading 1"/>
    <w:basedOn w:val="Normal"/>
    <w:link w:val="Ttulo1Char"/>
    <w:uiPriority w:val="9"/>
    <w:qFormat/>
    <w:rsid w:val="00e20aba"/>
    <w:pPr>
      <w:widowControl w:val="false"/>
      <w:spacing w:lineRule="auto" w:line="240" w:before="0" w:after="0"/>
      <w:ind w:start="101"/>
      <w:jc w:val="both"/>
      <w:outlineLvl w:val="0"/>
    </w:pPr>
    <w:rPr>
      <w:rFonts w:ascii="Arial" w:hAnsi="Arial" w:eastAsia="Arial" w:cs="Arial"/>
      <w:b/>
      <w:bCs/>
      <w:lang w:val="pt-PT"/>
    </w:rPr>
  </w:style>
  <w:style w:type="character" w:styleId="DefaultParagraphFont" w:default="1">
    <w:name w:val="Default Paragraph Font"/>
    <w:uiPriority w:val="1"/>
    <w:semiHidden/>
    <w:unhideWhenUsed/>
    <w:qFormat/>
    <w:rPr/>
  </w:style>
  <w:style w:type="character" w:styleId="Hyperlink">
    <w:name w:val="Hyperlink"/>
    <w:basedOn w:val="DefaultParagraphFont"/>
    <w:uiPriority w:val="99"/>
    <w:unhideWhenUsed/>
    <w:rsid w:val="006f2ee7"/>
    <w:rPr>
      <w:color w:themeColor="hyperlink" w:val="0563C1"/>
      <w:u w:val="single"/>
    </w:rPr>
  </w:style>
  <w:style w:type="character" w:styleId="TextodebaloChar" w:customStyle="1">
    <w:name w:val="Texto de balão Char"/>
    <w:basedOn w:val="DefaultParagraphFont"/>
    <w:link w:val="BalloonText"/>
    <w:uiPriority w:val="99"/>
    <w:semiHidden/>
    <w:qFormat/>
    <w:rsid w:val="00632d9e"/>
    <w:rPr>
      <w:rFonts w:ascii="Tahoma" w:hAnsi="Tahoma" w:cs="Tahoma"/>
      <w:sz w:val="16"/>
      <w:szCs w:val="16"/>
    </w:rPr>
  </w:style>
  <w:style w:type="character" w:styleId="Ttulo1Char" w:customStyle="1">
    <w:name w:val="Título 1 Char"/>
    <w:basedOn w:val="DefaultParagraphFont"/>
    <w:uiPriority w:val="9"/>
    <w:qFormat/>
    <w:rsid w:val="00e20aba"/>
    <w:rPr>
      <w:rFonts w:ascii="Arial" w:hAnsi="Arial" w:eastAsia="Arial" w:cs="Arial"/>
      <w:b/>
      <w:bCs/>
      <w:lang w:val="pt-PT"/>
    </w:rPr>
  </w:style>
  <w:style w:type="character" w:styleId="MenoPendente1" w:customStyle="1">
    <w:name w:val="Menção Pendente1"/>
    <w:basedOn w:val="DefaultParagraphFont"/>
    <w:uiPriority w:val="99"/>
    <w:semiHidden/>
    <w:unhideWhenUsed/>
    <w:qFormat/>
    <w:rsid w:val="00cd5cde"/>
    <w:rPr>
      <w:color w:val="605E5C"/>
      <w:shd w:fill="E1DFDD" w:val="clear"/>
    </w:rPr>
  </w:style>
  <w:style w:type="paragraph" w:styleId="Ttulo">
    <w:name w:val="Títu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Spacing">
    <w:name w:val="No Spacing"/>
    <w:uiPriority w:val="1"/>
    <w:qFormat/>
    <w:rsid w:val="006f2ee7"/>
    <w:pPr>
      <w:widowControl/>
      <w:bidi w:val="0"/>
      <w:spacing w:lineRule="auto" w:line="240" w:before="0" w:after="0"/>
      <w:jc w:val="start"/>
    </w:pPr>
    <w:rPr>
      <w:rFonts w:ascii="Calibri" w:hAnsi="Calibri" w:eastAsia="Calibri" w:cs="Times New Roman" w:asciiTheme="minorHAnsi" w:eastAsiaTheme="minorHAnsi" w:hAnsiTheme="minorHAnsi"/>
      <w:color w:val="auto"/>
      <w:kern w:val="0"/>
      <w:sz w:val="22"/>
      <w:szCs w:val="22"/>
      <w:lang w:val="pt-BR" w:eastAsia="en-US" w:bidi="ar-SA"/>
    </w:rPr>
  </w:style>
  <w:style w:type="paragraph" w:styleId="ListParagraph">
    <w:name w:val="List Paragraph"/>
    <w:basedOn w:val="Normal"/>
    <w:uiPriority w:val="34"/>
    <w:qFormat/>
    <w:rsid w:val="006f2ee7"/>
    <w:pPr>
      <w:spacing w:lineRule="auto" w:line="276" w:before="0" w:after="200"/>
      <w:ind w:start="720"/>
      <w:contextualSpacing/>
    </w:pPr>
    <w:rPr/>
  </w:style>
  <w:style w:type="paragraph" w:styleId="western" w:customStyle="1">
    <w:name w:val="western"/>
    <w:basedOn w:val="Normal"/>
    <w:qFormat/>
    <w:rsid w:val="006f2ee7"/>
    <w:pPr>
      <w:spacing w:lineRule="auto" w:line="240" w:beforeAutospacing="1" w:afterAutospacing="1"/>
    </w:pPr>
    <w:rPr>
      <w:rFonts w:ascii="Times New Roman" w:hAnsi="Times New Roman" w:eastAsia="Times New Roman" w:cs="Times New Roman"/>
      <w:sz w:val="24"/>
      <w:szCs w:val="24"/>
      <w:lang w:eastAsia="pt-BR"/>
    </w:rPr>
  </w:style>
  <w:style w:type="paragraph" w:styleId="BalloonText">
    <w:name w:val="Balloon Text"/>
    <w:basedOn w:val="Normal"/>
    <w:link w:val="TextodebaloChar"/>
    <w:uiPriority w:val="99"/>
    <w:semiHidden/>
    <w:unhideWhenUsed/>
    <w:qFormat/>
    <w:rsid w:val="00632d9e"/>
    <w:pPr>
      <w:spacing w:lineRule="auto" w:line="240" w:before="0" w:after="0"/>
    </w:pPr>
    <w:rPr>
      <w:rFonts w:ascii="Tahoma" w:hAnsi="Tahoma" w:cs="Tahoma"/>
      <w:sz w:val="16"/>
      <w:szCs w:val="16"/>
    </w:rPr>
  </w:style>
  <w:style w:type="numbering" w:styleId="Semlista" w:default="1">
    <w:name w:val="Sem lista"/>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rnaldoleiloes.com.br/" TargetMode="External"/><Relationship Id="rId3" Type="http://schemas.openxmlformats.org/officeDocument/2006/relationships/hyperlink" Target="http://www.arnaldoleiloes.com.br/" TargetMode="External"/><Relationship Id="rId4" Type="http://schemas.openxmlformats.org/officeDocument/2006/relationships/hyperlink" Target="http://www.arnaldoleiloes.com.br/"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ema do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itchFamily="0" charset="1"/>
        <a:ea typeface=""/>
        <a:cs typeface=""/>
      </a:majorFont>
      <a:minorFont>
        <a:latin typeface="Calibri"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61</TotalTime>
  <Application>LibreOffice/25.8.4.2$Windows_X86_64 LibreOffice_project/290daaa01b999472f0c7a3890eb6a550fd74c6df</Application>
  <AppVersion>15.0000</AppVersion>
  <Pages>5</Pages>
  <Words>1702</Words>
  <Characters>9414</Characters>
  <CharactersWithSpaces>11111</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2024-12-06T11:24:00Z</dcterms:created>
  <dc:creator>Dep_pessoal8</dc:creator>
  <dc:description/>
  <dc:language>pt-BR</dc:language>
  <cp:lastModifiedBy/>
  <cp:lastPrinted>2024-12-06T11:35:00Z</cp:lastPrinted>
  <dcterms:modified xsi:type="dcterms:W3CDTF">2026-02-25T19:07:25Z</dcterms:modified>
  <cp:revision>17</cp:revision>
  <dc:subject/>
  <dc:title/>
</cp:coreProperties>
</file>

<file path=docProps/custom.xml><?xml version="1.0" encoding="utf-8"?>
<Properties xmlns="http://schemas.openxmlformats.org/officeDocument/2006/custom-properties" xmlns:vt="http://schemas.openxmlformats.org/officeDocument/2006/docPropsVTypes"/>
</file>